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99A7C">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ascii="宋体" w:hAnsi="宋体"/>
          <w:b/>
          <w:bCs w:val="0"/>
          <w:sz w:val="28"/>
          <w:szCs w:val="32"/>
          <w:highlight w:val="none"/>
        </w:rPr>
      </w:pPr>
    </w:p>
    <w:p w14:paraId="52844E51">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ascii="宋体" w:hAnsi="宋体"/>
          <w:b/>
          <w:bCs w:val="0"/>
          <w:sz w:val="28"/>
          <w:szCs w:val="32"/>
          <w:highlight w:val="none"/>
        </w:rPr>
      </w:pPr>
    </w:p>
    <w:p w14:paraId="5B1BF616">
      <w:pPr>
        <w:keepNext w:val="0"/>
        <w:keepLines w:val="0"/>
        <w:pageBreakBefore w:val="0"/>
        <w:widowControl w:val="0"/>
        <w:kinsoku/>
        <w:wordWrap/>
        <w:overflowPunct/>
        <w:topLinePunct w:val="0"/>
        <w:autoSpaceDE/>
        <w:autoSpaceDN/>
        <w:bidi w:val="0"/>
        <w:adjustRightInd/>
        <w:snapToGrid/>
        <w:spacing w:beforeLines="30" w:line="560" w:lineRule="exact"/>
        <w:jc w:val="both"/>
        <w:textAlignment w:val="auto"/>
        <w:rPr>
          <w:rFonts w:hint="eastAsia" w:ascii="宋体" w:hAnsi="宋体" w:eastAsia="宋体" w:cs="宋体"/>
          <w:b/>
          <w:bCs w:val="0"/>
          <w:sz w:val="24"/>
          <w:szCs w:val="24"/>
          <w:highlight w:val="none"/>
          <w:lang w:val="en-US" w:eastAsia="zh-CN"/>
        </w:rPr>
      </w:pPr>
    </w:p>
    <w:p w14:paraId="1E97AB90">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ascii="黑体" w:hAnsi="黑体" w:eastAsia="黑体" w:cs="黑体"/>
          <w:b/>
          <w:bCs w:val="0"/>
          <w:sz w:val="52"/>
          <w:szCs w:val="52"/>
          <w:highlight w:val="none"/>
        </w:rPr>
      </w:pPr>
    </w:p>
    <w:p w14:paraId="3102908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方正小标宋简体"/>
          <w:b w:val="0"/>
          <w:bCs/>
          <w:spacing w:val="-11"/>
          <w:sz w:val="52"/>
          <w:szCs w:val="52"/>
          <w:highlight w:val="none"/>
        </w:rPr>
      </w:pPr>
      <w:r>
        <w:rPr>
          <w:rFonts w:hint="eastAsia" w:ascii="Times New Roman" w:hAnsi="Times New Roman" w:eastAsia="方正小标宋简体" w:cs="方正小标宋简体"/>
          <w:b w:val="0"/>
          <w:bCs/>
          <w:spacing w:val="-11"/>
          <w:sz w:val="52"/>
          <w:szCs w:val="52"/>
          <w:highlight w:val="none"/>
        </w:rPr>
        <w:t>深圳市鹏劳人力资源管理有限公司</w:t>
      </w:r>
    </w:p>
    <w:p w14:paraId="6B4C5D7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方正小标宋简体"/>
          <w:b w:val="0"/>
          <w:bCs/>
          <w:spacing w:val="-11"/>
          <w:sz w:val="52"/>
          <w:szCs w:val="52"/>
          <w:highlight w:val="none"/>
          <w:lang w:val="en-US" w:eastAsia="zh-CN"/>
        </w:rPr>
      </w:pPr>
      <w:r>
        <w:rPr>
          <w:rFonts w:hint="eastAsia" w:ascii="Times New Roman" w:hAnsi="Times New Roman" w:eastAsia="方正小标宋简体" w:cs="方正小标宋简体"/>
          <w:b w:val="0"/>
          <w:bCs/>
          <w:spacing w:val="-11"/>
          <w:sz w:val="52"/>
          <w:szCs w:val="52"/>
          <w:highlight w:val="none"/>
          <w:lang w:val="en-US" w:eastAsia="zh-CN"/>
        </w:rPr>
        <w:t>2025年度</w:t>
      </w:r>
      <w:r>
        <w:rPr>
          <w:rFonts w:hint="eastAsia" w:ascii="Times New Roman" w:hAnsi="Times New Roman" w:eastAsia="方正小标宋简体" w:cs="方正小标宋简体"/>
          <w:b w:val="0"/>
          <w:bCs/>
          <w:spacing w:val="-11"/>
          <w:sz w:val="52"/>
          <w:szCs w:val="52"/>
          <w:highlight w:val="none"/>
        </w:rPr>
        <w:t>员工</w:t>
      </w:r>
      <w:r>
        <w:rPr>
          <w:rFonts w:hint="eastAsia" w:ascii="Times New Roman" w:hAnsi="Times New Roman" w:eastAsia="方正小标宋简体" w:cs="方正小标宋简体"/>
          <w:b w:val="0"/>
          <w:bCs/>
          <w:spacing w:val="-11"/>
          <w:sz w:val="52"/>
          <w:szCs w:val="52"/>
          <w:highlight w:val="none"/>
          <w:lang w:val="en-US" w:eastAsia="zh-CN"/>
        </w:rPr>
        <w:t>健康</w:t>
      </w:r>
      <w:r>
        <w:rPr>
          <w:rFonts w:hint="eastAsia" w:ascii="Times New Roman" w:hAnsi="Times New Roman" w:eastAsia="方正小标宋简体" w:cs="方正小标宋简体"/>
          <w:b w:val="0"/>
          <w:bCs/>
          <w:spacing w:val="-11"/>
          <w:sz w:val="52"/>
          <w:szCs w:val="52"/>
          <w:highlight w:val="none"/>
        </w:rPr>
        <w:t>体检</w:t>
      </w:r>
      <w:r>
        <w:rPr>
          <w:rFonts w:hint="eastAsia" w:ascii="Times New Roman" w:hAnsi="Times New Roman" w:eastAsia="方正小标宋简体" w:cs="方正小标宋简体"/>
          <w:b w:val="0"/>
          <w:bCs/>
          <w:spacing w:val="-11"/>
          <w:sz w:val="52"/>
          <w:szCs w:val="52"/>
          <w:highlight w:val="none"/>
          <w:lang w:val="en-US" w:eastAsia="zh-CN"/>
        </w:rPr>
        <w:t>项目（二次）</w:t>
      </w:r>
    </w:p>
    <w:p w14:paraId="3FC317DE">
      <w:pPr>
        <w:keepNext w:val="0"/>
        <w:keepLines w:val="0"/>
        <w:pageBreakBefore w:val="0"/>
        <w:widowControl w:val="0"/>
        <w:kinsoku/>
        <w:wordWrap/>
        <w:overflowPunct/>
        <w:topLinePunct w:val="0"/>
        <w:autoSpaceDE/>
        <w:autoSpaceDN/>
        <w:bidi w:val="0"/>
        <w:adjustRightInd/>
        <w:snapToGrid/>
        <w:spacing w:beforeLines="30" w:line="640" w:lineRule="exact"/>
        <w:jc w:val="center"/>
        <w:textAlignment w:val="auto"/>
        <w:rPr>
          <w:rFonts w:hint="eastAsia" w:ascii="Times New Roman" w:hAnsi="Times New Roman" w:eastAsia="方正小标宋简体" w:cs="方正小标宋简体"/>
          <w:b w:val="0"/>
          <w:bCs/>
          <w:spacing w:val="-11"/>
          <w:sz w:val="52"/>
          <w:szCs w:val="52"/>
          <w:highlight w:val="none"/>
        </w:rPr>
      </w:pPr>
      <w:r>
        <w:rPr>
          <w:rFonts w:hint="eastAsia" w:ascii="Times New Roman" w:hAnsi="Times New Roman" w:eastAsia="方正小标宋简体" w:cs="方正小标宋简体"/>
          <w:b w:val="0"/>
          <w:bCs/>
          <w:spacing w:val="-11"/>
          <w:sz w:val="52"/>
          <w:szCs w:val="52"/>
          <w:highlight w:val="none"/>
        </w:rPr>
        <w:t>招标文件</w:t>
      </w:r>
    </w:p>
    <w:p w14:paraId="0750F79C">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Times New Roman" w:hAnsi="Times New Roman" w:eastAsia="方正小标宋简体" w:cs="方正小标宋简体"/>
          <w:b/>
          <w:bCs w:val="0"/>
          <w:sz w:val="48"/>
          <w:szCs w:val="52"/>
          <w:highlight w:val="none"/>
        </w:rPr>
      </w:pPr>
    </w:p>
    <w:p w14:paraId="18E238C4">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Times New Roman" w:hAnsi="Times New Roman" w:eastAsia="方正小标宋简体" w:cs="方正小标宋简体"/>
          <w:b/>
          <w:bCs w:val="0"/>
          <w:sz w:val="48"/>
          <w:szCs w:val="52"/>
          <w:highlight w:val="none"/>
        </w:rPr>
      </w:pPr>
    </w:p>
    <w:p w14:paraId="311B7EA9">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Times New Roman" w:hAnsi="Times New Roman" w:eastAsia="方正小标宋简体" w:cs="方正小标宋简体"/>
          <w:b/>
          <w:bCs w:val="0"/>
          <w:sz w:val="48"/>
          <w:szCs w:val="52"/>
          <w:highlight w:val="none"/>
        </w:rPr>
      </w:pPr>
    </w:p>
    <w:p w14:paraId="4A932739">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Times New Roman" w:hAnsi="Times New Roman" w:eastAsia="方正小标宋简体" w:cs="方正小标宋简体"/>
          <w:b/>
          <w:bCs w:val="0"/>
          <w:sz w:val="48"/>
          <w:szCs w:val="52"/>
          <w:highlight w:val="none"/>
        </w:rPr>
      </w:pPr>
    </w:p>
    <w:p w14:paraId="09DA933E">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Times New Roman" w:hAnsi="Times New Roman" w:eastAsia="方正小标宋简体" w:cs="方正小标宋简体"/>
          <w:b w:val="0"/>
          <w:bCs/>
          <w:sz w:val="40"/>
          <w:szCs w:val="40"/>
          <w:highlight w:val="none"/>
        </w:rPr>
      </w:pPr>
      <w:r>
        <w:rPr>
          <w:rFonts w:hint="eastAsia" w:ascii="Times New Roman" w:hAnsi="Times New Roman" w:eastAsia="方正小标宋简体" w:cs="方正小标宋简体"/>
          <w:b w:val="0"/>
          <w:bCs/>
          <w:sz w:val="40"/>
          <w:szCs w:val="40"/>
          <w:highlight w:val="none"/>
        </w:rPr>
        <w:t>采购类别</w:t>
      </w:r>
      <w:r>
        <w:rPr>
          <w:rFonts w:hint="eastAsia" w:ascii="Times New Roman" w:hAnsi="Times New Roman" w:eastAsia="方正小标宋简体" w:cs="方正小标宋简体"/>
          <w:b w:val="0"/>
          <w:bCs/>
          <w:sz w:val="40"/>
          <w:szCs w:val="40"/>
          <w:highlight w:val="none"/>
          <w:lang w:eastAsia="zh-CN"/>
        </w:rPr>
        <w:t>：</w:t>
      </w:r>
      <w:r>
        <w:rPr>
          <w:rFonts w:hint="eastAsia" w:ascii="Times New Roman" w:hAnsi="Times New Roman" w:eastAsia="方正小标宋简体" w:cs="方正小标宋简体"/>
          <w:b w:val="0"/>
          <w:bCs/>
          <w:sz w:val="40"/>
          <w:szCs w:val="40"/>
          <w:highlight w:val="none"/>
        </w:rPr>
        <w:t>服务采购</w:t>
      </w:r>
    </w:p>
    <w:p w14:paraId="6C92A6A1">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Times New Roman" w:hAnsi="Times New Roman" w:eastAsia="方正小标宋简体" w:cs="方正小标宋简体"/>
          <w:b/>
          <w:bCs w:val="0"/>
          <w:sz w:val="24"/>
          <w:szCs w:val="24"/>
          <w:highlight w:val="none"/>
          <w:lang w:val="en-US" w:eastAsia="zh-CN"/>
        </w:rPr>
      </w:pPr>
      <w:r>
        <w:rPr>
          <w:rFonts w:hint="eastAsia" w:ascii="Times New Roman" w:hAnsi="Times New Roman" w:eastAsia="方正小标宋简体" w:cs="方正小标宋简体"/>
          <w:b w:val="0"/>
          <w:bCs/>
          <w:sz w:val="40"/>
          <w:szCs w:val="40"/>
          <w:highlight w:val="none"/>
          <w:lang w:eastAsia="zh-CN"/>
        </w:rPr>
        <w:t>项目</w:t>
      </w:r>
      <w:r>
        <w:rPr>
          <w:rFonts w:hint="eastAsia" w:ascii="Times New Roman" w:hAnsi="Times New Roman" w:eastAsia="方正小标宋简体" w:cs="方正小标宋简体"/>
          <w:b w:val="0"/>
          <w:bCs/>
          <w:sz w:val="40"/>
          <w:szCs w:val="40"/>
          <w:highlight w:val="none"/>
        </w:rPr>
        <w:t>编号：</w:t>
      </w:r>
      <w:r>
        <w:rPr>
          <w:rFonts w:hint="eastAsia" w:ascii="Times New Roman" w:hAnsi="Times New Roman" w:eastAsia="方正小标宋简体" w:cs="方正小标宋简体"/>
          <w:b w:val="0"/>
          <w:bCs/>
          <w:sz w:val="40"/>
          <w:szCs w:val="40"/>
          <w:highlight w:val="none"/>
          <w:lang w:eastAsia="zh-CN"/>
        </w:rPr>
        <w:t>PLHR-ZB-FW-20250601</w:t>
      </w:r>
    </w:p>
    <w:p w14:paraId="73D4C2D6">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Times New Roman" w:hAnsi="Times New Roman" w:eastAsia="方正小标宋简体" w:cs="方正小标宋简体"/>
          <w:b/>
          <w:bCs w:val="0"/>
          <w:sz w:val="30"/>
          <w:szCs w:val="32"/>
          <w:highlight w:val="none"/>
        </w:rPr>
      </w:pPr>
    </w:p>
    <w:p w14:paraId="6028EC03">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hint="eastAsia" w:ascii="Times New Roman" w:hAnsi="Times New Roman" w:eastAsia="方正小标宋简体" w:cs="方正小标宋简体"/>
          <w:b/>
          <w:bCs w:val="0"/>
          <w:sz w:val="34"/>
          <w:szCs w:val="36"/>
          <w:highlight w:val="none"/>
        </w:rPr>
      </w:pPr>
    </w:p>
    <w:p w14:paraId="42753AE4">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hint="eastAsia" w:ascii="Times New Roman" w:hAnsi="Times New Roman" w:eastAsia="方正小标宋简体" w:cs="方正小标宋简体"/>
          <w:b w:val="0"/>
          <w:bCs/>
          <w:sz w:val="34"/>
          <w:szCs w:val="36"/>
          <w:highlight w:val="none"/>
        </w:rPr>
      </w:pPr>
    </w:p>
    <w:p w14:paraId="48A3B943">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Times New Roman" w:hAnsi="Times New Roman" w:eastAsia="方正小标宋简体" w:cs="方正小标宋简体"/>
          <w:b w:val="0"/>
          <w:bCs/>
          <w:sz w:val="40"/>
          <w:szCs w:val="40"/>
          <w:highlight w:val="none"/>
        </w:rPr>
      </w:pPr>
      <w:r>
        <w:rPr>
          <w:rFonts w:hint="eastAsia" w:ascii="Times New Roman" w:hAnsi="Times New Roman" w:eastAsia="方正小标宋简体" w:cs="方正小标宋简体"/>
          <w:b w:val="0"/>
          <w:bCs/>
          <w:sz w:val="40"/>
          <w:szCs w:val="40"/>
          <w:highlight w:val="none"/>
        </w:rPr>
        <w:t>深圳市鹏劳人力资源管理有限公司</w:t>
      </w:r>
    </w:p>
    <w:p w14:paraId="6FFEA09C">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Times New Roman" w:hAnsi="Times New Roman" w:eastAsia="方正小标宋简体" w:cs="方正小标宋简体"/>
          <w:b w:val="0"/>
          <w:bCs/>
          <w:sz w:val="40"/>
          <w:szCs w:val="40"/>
          <w:highlight w:val="none"/>
        </w:rPr>
      </w:pPr>
      <w:r>
        <w:rPr>
          <w:rFonts w:hint="eastAsia" w:ascii="Times New Roman" w:hAnsi="Times New Roman" w:eastAsia="方正小标宋简体" w:cs="方正小标宋简体"/>
          <w:b w:val="0"/>
          <w:bCs/>
          <w:sz w:val="40"/>
          <w:szCs w:val="40"/>
          <w:highlight w:val="none"/>
        </w:rPr>
        <w:t>二〇二</w:t>
      </w:r>
      <w:r>
        <w:rPr>
          <w:rFonts w:hint="eastAsia" w:ascii="Times New Roman" w:hAnsi="Times New Roman" w:eastAsia="方正小标宋简体" w:cs="方正小标宋简体"/>
          <w:b w:val="0"/>
          <w:bCs/>
          <w:sz w:val="40"/>
          <w:szCs w:val="40"/>
          <w:highlight w:val="none"/>
          <w:lang w:val="en-US" w:eastAsia="zh-CN"/>
        </w:rPr>
        <w:t>五</w:t>
      </w:r>
      <w:r>
        <w:rPr>
          <w:rFonts w:hint="eastAsia" w:ascii="Times New Roman" w:hAnsi="Times New Roman" w:eastAsia="方正小标宋简体" w:cs="方正小标宋简体"/>
          <w:b w:val="0"/>
          <w:bCs/>
          <w:sz w:val="40"/>
          <w:szCs w:val="40"/>
          <w:highlight w:val="none"/>
        </w:rPr>
        <w:t>年</w:t>
      </w:r>
      <w:r>
        <w:rPr>
          <w:rFonts w:hint="eastAsia" w:ascii="Times New Roman" w:hAnsi="Times New Roman" w:eastAsia="方正小标宋简体" w:cs="方正小标宋简体"/>
          <w:b w:val="0"/>
          <w:bCs/>
          <w:sz w:val="40"/>
          <w:szCs w:val="40"/>
          <w:highlight w:val="none"/>
          <w:lang w:val="en-US" w:eastAsia="zh-CN"/>
        </w:rPr>
        <w:t>八</w:t>
      </w:r>
      <w:r>
        <w:rPr>
          <w:rFonts w:hint="eastAsia" w:ascii="Times New Roman" w:hAnsi="Times New Roman" w:eastAsia="方正小标宋简体" w:cs="方正小标宋简体"/>
          <w:b w:val="0"/>
          <w:bCs/>
          <w:sz w:val="40"/>
          <w:szCs w:val="40"/>
          <w:highlight w:val="none"/>
        </w:rPr>
        <w:t>月</w:t>
      </w:r>
    </w:p>
    <w:p w14:paraId="6199C32E">
      <w:pPr>
        <w:pStyle w:val="13"/>
        <w:spacing w:before="0" w:after="0"/>
        <w:ind w:firstLine="0" w:firstLineChars="0"/>
        <w:outlineLvl w:val="3"/>
        <w:rPr>
          <w:rFonts w:ascii="宋体" w:hAnsi="宋体"/>
          <w:b/>
          <w:bCs w:val="0"/>
          <w:sz w:val="36"/>
          <w:szCs w:val="30"/>
          <w:highlight w:val="none"/>
        </w:rPr>
        <w:sectPr>
          <w:headerReference r:id="rId4" w:type="first"/>
          <w:footerReference r:id="rId6" w:type="first"/>
          <w:headerReference r:id="rId3" w:type="default"/>
          <w:footerReference r:id="rId5" w:type="default"/>
          <w:pgSz w:w="11907" w:h="16840"/>
          <w:pgMar w:top="1276" w:right="1275" w:bottom="1135" w:left="1418" w:header="709" w:footer="603" w:gutter="0"/>
          <w:pgBorders>
            <w:top w:val="none" w:sz="0" w:space="0"/>
            <w:left w:val="none" w:sz="0" w:space="0"/>
            <w:bottom w:val="none" w:sz="0" w:space="0"/>
            <w:right w:val="none" w:sz="0" w:space="0"/>
          </w:pgBorders>
          <w:pgNumType w:fmt="decimal"/>
          <w:cols w:space="720" w:num="1"/>
          <w:titlePg/>
          <w:docGrid w:linePitch="462" w:charSpace="0"/>
        </w:sectPr>
      </w:pPr>
      <w:bookmarkStart w:id="0" w:name="_Toc2190"/>
    </w:p>
    <w:p w14:paraId="367E52C5">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sz w:val="44"/>
          <w:szCs w:val="44"/>
          <w:highlight w:val="none"/>
        </w:rPr>
      </w:pPr>
      <w:bookmarkStart w:id="1" w:name="_Toc21460"/>
      <w:bookmarkStart w:id="2" w:name="_Toc11413"/>
      <w:r>
        <w:rPr>
          <w:rFonts w:hint="eastAsia" w:ascii="方正小标宋简体" w:hAnsi="方正小标宋简体" w:eastAsia="方正小标宋简体" w:cs="方正小标宋简体"/>
          <w:b w:val="0"/>
          <w:bCs/>
          <w:sz w:val="44"/>
          <w:szCs w:val="44"/>
          <w:highlight w:val="none"/>
        </w:rPr>
        <w:t>目 录</w:t>
      </w:r>
      <w:bookmarkEnd w:id="0"/>
      <w:bookmarkEnd w:id="1"/>
      <w:bookmarkEnd w:id="2"/>
    </w:p>
    <w:sdt>
      <w:sdtPr>
        <w:rPr>
          <w:rFonts w:ascii="宋体" w:hAnsi="宋体" w:eastAsia="宋体" w:cs="Times New Roman"/>
          <w:b/>
          <w:bCs w:val="0"/>
          <w:kern w:val="28"/>
          <w:sz w:val="32"/>
          <w:szCs w:val="32"/>
          <w:highlight w:val="none"/>
        </w:rPr>
        <w:id w:val="147481365"/>
        <w:docPartObj>
          <w:docPartGallery w:val="Table of Contents"/>
          <w:docPartUnique/>
        </w:docPartObj>
      </w:sdtPr>
      <w:sdtEndPr>
        <w:rPr>
          <w:rFonts w:hint="eastAsia" w:ascii="Times New Roman" w:hAnsi="Times New Roman" w:eastAsia="仿宋" w:cs="仿宋"/>
          <w:b w:val="0"/>
          <w:bCs/>
          <w:caps w:val="0"/>
          <w:smallCaps w:val="0"/>
          <w:kern w:val="28"/>
          <w:sz w:val="28"/>
          <w:szCs w:val="28"/>
          <w:highlight w:val="none"/>
        </w:rPr>
      </w:sdtEndPr>
      <w:sdtContent>
        <w:p w14:paraId="1C4D3452">
          <w:pPr>
            <w:jc w:val="center"/>
            <w:rPr>
              <w:b/>
              <w:bCs w:val="0"/>
              <w:highlight w:val="none"/>
            </w:rPr>
          </w:pPr>
        </w:p>
        <w:p w14:paraId="281049D0">
          <w:pPr>
            <w:pStyle w:val="12"/>
            <w:keepNext w:val="0"/>
            <w:keepLines w:val="0"/>
            <w:pageBreakBefore w:val="0"/>
            <w:widowControl w:val="0"/>
            <w:tabs>
              <w:tab w:val="right" w:leader="dot" w:pos="8846"/>
              <w:tab w:val="clear" w:pos="8295"/>
            </w:tabs>
            <w:kinsoku/>
            <w:wordWrap/>
            <w:overflowPunct/>
            <w:topLinePunct w:val="0"/>
            <w:autoSpaceDE/>
            <w:autoSpaceDN/>
            <w:bidi w:val="0"/>
            <w:adjustRightInd/>
            <w:snapToGrid/>
            <w:spacing w:before="0" w:after="0" w:line="300" w:lineRule="exact"/>
            <w:ind w:left="0" w:leftChars="0" w:firstLine="0" w:firstLineChars="0"/>
            <w:textAlignment w:val="auto"/>
            <w:rPr>
              <w:rFonts w:hint="eastAsia" w:ascii="黑体" w:hAnsi="黑体" w:eastAsia="黑体" w:cs="黑体"/>
              <w:caps w:val="0"/>
              <w:smallCaps w:val="0"/>
            </w:rPr>
          </w:pPr>
          <w:r>
            <w:rPr>
              <w:rFonts w:hint="eastAsia" w:ascii="黑体" w:hAnsi="黑体" w:eastAsia="黑体" w:cs="黑体"/>
              <w:b w:val="0"/>
              <w:bCs/>
              <w:caps w:val="0"/>
              <w:smallCaps w:val="0"/>
              <w:sz w:val="28"/>
              <w:szCs w:val="28"/>
              <w:highlight w:val="none"/>
            </w:rPr>
            <w:fldChar w:fldCharType="begin"/>
          </w:r>
          <w:r>
            <w:rPr>
              <w:rFonts w:hint="eastAsia" w:ascii="黑体" w:hAnsi="黑体" w:eastAsia="黑体" w:cs="黑体"/>
              <w:b w:val="0"/>
              <w:bCs/>
              <w:caps w:val="0"/>
              <w:smallCaps w:val="0"/>
              <w:sz w:val="28"/>
              <w:szCs w:val="28"/>
              <w:highlight w:val="none"/>
            </w:rPr>
            <w:instrText xml:space="preserve">TOC \o "1-3" \h \u </w:instrText>
          </w:r>
          <w:r>
            <w:rPr>
              <w:rFonts w:hint="eastAsia" w:ascii="黑体" w:hAnsi="黑体" w:eastAsia="黑体" w:cs="黑体"/>
              <w:b w:val="0"/>
              <w:bCs/>
              <w:caps w:val="0"/>
              <w:smallCaps w:val="0"/>
              <w:sz w:val="28"/>
              <w:szCs w:val="28"/>
              <w:highlight w:val="none"/>
            </w:rPr>
            <w:fldChar w:fldCharType="separate"/>
          </w: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_Toc31261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32"/>
              <w:highlight w:val="none"/>
              <w:lang w:val="en-US" w:eastAsia="zh-CN"/>
            </w:rPr>
            <w:t>第一部分 招标公告</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_Toc31261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3</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5D9F7E13">
          <w:pPr>
            <w:pStyle w:val="14"/>
            <w:keepNext w:val="0"/>
            <w:keepLines w:val="0"/>
            <w:pageBreakBefore w:val="0"/>
            <w:widowControl w:val="0"/>
            <w:tabs>
              <w:tab w:val="right" w:leader="dot" w:pos="8846"/>
              <w:tab w:val="clear" w:pos="8295"/>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_Toc28606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36"/>
              <w:highlight w:val="none"/>
              <w:lang w:val="en-US" w:eastAsia="zh-CN"/>
            </w:rPr>
            <w:t>深圳市鹏劳人力资源管理有限公司采购招标</w:t>
          </w:r>
          <w:r>
            <w:rPr>
              <w:rFonts w:hint="eastAsia" w:ascii="黑体" w:hAnsi="黑体" w:eastAsia="黑体" w:cs="黑体"/>
              <w:b w:val="0"/>
              <w:bCs w:val="0"/>
              <w:caps w:val="0"/>
              <w:smallCaps w:val="0"/>
              <w:szCs w:val="36"/>
              <w:highlight w:val="none"/>
            </w:rPr>
            <w:t>报名表</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_Toc28606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7</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1EC54868">
          <w:pPr>
            <w:pStyle w:val="14"/>
            <w:keepNext w:val="0"/>
            <w:keepLines w:val="0"/>
            <w:pageBreakBefore w:val="0"/>
            <w:widowControl w:val="0"/>
            <w:tabs>
              <w:tab w:val="right" w:leader="dot" w:pos="8846"/>
              <w:tab w:val="clear" w:pos="8295"/>
            </w:tabs>
            <w:kinsoku/>
            <w:wordWrap/>
            <w:overflowPunct/>
            <w:topLinePunct w:val="0"/>
            <w:autoSpaceDE/>
            <w:autoSpaceDN/>
            <w:bidi w:val="0"/>
            <w:adjustRightInd/>
            <w:snapToGrid/>
            <w:spacing w:line="300" w:lineRule="exact"/>
            <w:ind w:left="0" w:leftChars="0" w:firstLine="0" w:firstLineChars="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_Toc30095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32"/>
              <w:highlight w:val="none"/>
              <w:lang w:val="en-US" w:eastAsia="zh-CN"/>
            </w:rPr>
            <w:t>第二部分 招标文件</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_Toc30095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8</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743316ED">
          <w:pPr>
            <w:pStyle w:val="14"/>
            <w:keepNext w:val="0"/>
            <w:keepLines w:val="0"/>
            <w:pageBreakBefore w:val="0"/>
            <w:widowControl w:val="0"/>
            <w:tabs>
              <w:tab w:val="right" w:leader="dot" w:pos="8846"/>
              <w:tab w:val="clear" w:pos="8295"/>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_Toc14060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32"/>
              <w:highlight w:val="none"/>
            </w:rPr>
            <w:t>第一章 项目概况</w:t>
          </w:r>
          <w:r>
            <w:rPr>
              <w:rFonts w:hint="eastAsia" w:ascii="黑体" w:hAnsi="黑体" w:eastAsia="黑体" w:cs="黑体"/>
              <w:b w:val="0"/>
              <w:bCs w:val="0"/>
              <w:caps w:val="0"/>
              <w:smallCaps w:val="0"/>
              <w:szCs w:val="32"/>
              <w:highlight w:val="none"/>
              <w:lang w:val="en-US" w:eastAsia="zh-CN"/>
            </w:rPr>
            <w:t>及招标程序</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_Toc14060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8</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39F0151F">
          <w:pPr>
            <w:pStyle w:val="7"/>
            <w:keepNext w:val="0"/>
            <w:keepLines w:val="0"/>
            <w:pageBreakBefore w:val="0"/>
            <w:widowControl w:val="0"/>
            <w:tabs>
              <w:tab w:val="right" w:leader="dot" w:pos="8846"/>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_Toc2260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32"/>
              <w:highlight w:val="none"/>
              <w:lang w:val="zh-CN"/>
            </w:rPr>
            <w:t>一、项目名称</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_Toc2260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8</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5D6B63B1">
          <w:pPr>
            <w:pStyle w:val="7"/>
            <w:keepNext w:val="0"/>
            <w:keepLines w:val="0"/>
            <w:pageBreakBefore w:val="0"/>
            <w:widowControl w:val="0"/>
            <w:tabs>
              <w:tab w:val="right" w:leader="dot" w:pos="8846"/>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_Toc26069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32"/>
              <w:highlight w:val="none"/>
              <w:lang w:val="zh-CN"/>
            </w:rPr>
            <w:t>二、招标编号</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_Toc26069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8</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3A55C0CB">
          <w:pPr>
            <w:pStyle w:val="7"/>
            <w:keepNext w:val="0"/>
            <w:keepLines w:val="0"/>
            <w:pageBreakBefore w:val="0"/>
            <w:widowControl w:val="0"/>
            <w:tabs>
              <w:tab w:val="right" w:leader="dot" w:pos="8846"/>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_Toc22682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32"/>
              <w:highlight w:val="none"/>
            </w:rPr>
            <w:t>三、投标人资质要求</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_Toc22682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8</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3F82B2D9">
          <w:pPr>
            <w:pStyle w:val="7"/>
            <w:keepNext w:val="0"/>
            <w:keepLines w:val="0"/>
            <w:pageBreakBefore w:val="0"/>
            <w:widowControl w:val="0"/>
            <w:tabs>
              <w:tab w:val="right" w:leader="dot" w:pos="8846"/>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_Toc7457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32"/>
              <w:highlight w:val="none"/>
              <w:lang w:val="zh-CN"/>
            </w:rPr>
            <w:t>四、项目内容、服务需求及期限</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_Toc7457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9</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13286D5B">
          <w:pPr>
            <w:pStyle w:val="7"/>
            <w:keepNext w:val="0"/>
            <w:keepLines w:val="0"/>
            <w:pageBreakBefore w:val="0"/>
            <w:widowControl w:val="0"/>
            <w:tabs>
              <w:tab w:val="right" w:leader="dot" w:pos="8846"/>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_Toc2681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32"/>
              <w:highlight w:val="none"/>
            </w:rPr>
            <w:t>五、项目总限价</w:t>
          </w:r>
          <w:r>
            <w:rPr>
              <w:rFonts w:hint="eastAsia" w:ascii="黑体" w:hAnsi="黑体" w:eastAsia="黑体" w:cs="黑体"/>
              <w:b w:val="0"/>
              <w:bCs w:val="0"/>
              <w:caps w:val="0"/>
              <w:smallCaps w:val="0"/>
              <w:szCs w:val="32"/>
              <w:highlight w:val="none"/>
              <w:lang w:eastAsia="zh-CN"/>
            </w:rPr>
            <w:t>及预估体检人数</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_Toc2681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10</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1CEC6519">
          <w:pPr>
            <w:pStyle w:val="7"/>
            <w:keepNext w:val="0"/>
            <w:keepLines w:val="0"/>
            <w:pageBreakBefore w:val="0"/>
            <w:widowControl w:val="0"/>
            <w:tabs>
              <w:tab w:val="right" w:leader="dot" w:pos="8846"/>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_Toc7508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32"/>
              <w:highlight w:val="none"/>
            </w:rPr>
            <w:t>六、投标文件要求</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_Toc7508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11</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4E9E3385">
          <w:pPr>
            <w:pStyle w:val="7"/>
            <w:keepNext w:val="0"/>
            <w:keepLines w:val="0"/>
            <w:pageBreakBefore w:val="0"/>
            <w:widowControl w:val="0"/>
            <w:tabs>
              <w:tab w:val="right" w:leader="dot" w:pos="8846"/>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_Toc28941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32"/>
              <w:highlight w:val="none"/>
            </w:rPr>
            <w:t>七、投标人须知</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_Toc28941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13</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33AB596B">
          <w:pPr>
            <w:pStyle w:val="7"/>
            <w:keepNext w:val="0"/>
            <w:keepLines w:val="0"/>
            <w:pageBreakBefore w:val="0"/>
            <w:widowControl w:val="0"/>
            <w:tabs>
              <w:tab w:val="right" w:leader="dot" w:pos="8846"/>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_Toc14904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32"/>
              <w:highlight w:val="none"/>
            </w:rPr>
            <w:t>八、投标文件作废</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_Toc14904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15</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0146DA21">
          <w:pPr>
            <w:pStyle w:val="7"/>
            <w:keepNext w:val="0"/>
            <w:keepLines w:val="0"/>
            <w:pageBreakBefore w:val="0"/>
            <w:widowControl w:val="0"/>
            <w:tabs>
              <w:tab w:val="right" w:leader="dot" w:pos="8846"/>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_Toc5667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32"/>
              <w:highlight w:val="none"/>
            </w:rPr>
            <w:t>九、其他要求</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_Toc5667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16</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05093B44">
          <w:pPr>
            <w:pStyle w:val="7"/>
            <w:keepNext w:val="0"/>
            <w:keepLines w:val="0"/>
            <w:pageBreakBefore w:val="0"/>
            <w:widowControl w:val="0"/>
            <w:tabs>
              <w:tab w:val="right" w:leader="dot" w:pos="8846"/>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_Toc3787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32"/>
              <w:highlight w:val="none"/>
            </w:rPr>
            <w:t>十、投标文件递交</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_Toc3787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17</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0FC00E6C">
          <w:pPr>
            <w:pStyle w:val="7"/>
            <w:keepNext w:val="0"/>
            <w:keepLines w:val="0"/>
            <w:pageBreakBefore w:val="0"/>
            <w:widowControl w:val="0"/>
            <w:tabs>
              <w:tab w:val="right" w:leader="dot" w:pos="8846"/>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_Toc10120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32"/>
              <w:highlight w:val="none"/>
            </w:rPr>
            <w:t>十</w:t>
          </w:r>
          <w:r>
            <w:rPr>
              <w:rFonts w:hint="eastAsia" w:ascii="黑体" w:hAnsi="黑体" w:eastAsia="黑体" w:cs="黑体"/>
              <w:b w:val="0"/>
              <w:bCs w:val="0"/>
              <w:caps w:val="0"/>
              <w:smallCaps w:val="0"/>
              <w:szCs w:val="32"/>
              <w:highlight w:val="none"/>
              <w:lang w:eastAsia="zh-CN"/>
            </w:rPr>
            <w:t>一</w:t>
          </w:r>
          <w:r>
            <w:rPr>
              <w:rFonts w:hint="eastAsia" w:ascii="黑体" w:hAnsi="黑体" w:eastAsia="黑体" w:cs="黑体"/>
              <w:b w:val="0"/>
              <w:bCs w:val="0"/>
              <w:caps w:val="0"/>
              <w:smallCaps w:val="0"/>
              <w:szCs w:val="32"/>
              <w:highlight w:val="none"/>
            </w:rPr>
            <w:t>、开标</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_Toc10120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17</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7FBB14D2">
          <w:pPr>
            <w:pStyle w:val="7"/>
            <w:keepNext w:val="0"/>
            <w:keepLines w:val="0"/>
            <w:pageBreakBefore w:val="0"/>
            <w:widowControl w:val="0"/>
            <w:tabs>
              <w:tab w:val="right" w:leader="dot" w:pos="8846"/>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_Toc7523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32"/>
              <w:highlight w:val="none"/>
            </w:rPr>
            <w:t>十</w:t>
          </w:r>
          <w:r>
            <w:rPr>
              <w:rFonts w:hint="eastAsia" w:ascii="黑体" w:hAnsi="黑体" w:eastAsia="黑体" w:cs="黑体"/>
              <w:b w:val="0"/>
              <w:bCs w:val="0"/>
              <w:caps w:val="0"/>
              <w:smallCaps w:val="0"/>
              <w:szCs w:val="32"/>
              <w:highlight w:val="none"/>
              <w:lang w:eastAsia="zh-CN"/>
            </w:rPr>
            <w:t>二</w:t>
          </w:r>
          <w:r>
            <w:rPr>
              <w:rFonts w:hint="eastAsia" w:ascii="黑体" w:hAnsi="黑体" w:eastAsia="黑体" w:cs="黑体"/>
              <w:b w:val="0"/>
              <w:bCs w:val="0"/>
              <w:caps w:val="0"/>
              <w:smallCaps w:val="0"/>
              <w:szCs w:val="32"/>
              <w:highlight w:val="none"/>
            </w:rPr>
            <w:t>、评标</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_Toc7523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18</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34E200F0">
          <w:pPr>
            <w:pStyle w:val="7"/>
            <w:keepNext w:val="0"/>
            <w:keepLines w:val="0"/>
            <w:pageBreakBefore w:val="0"/>
            <w:widowControl w:val="0"/>
            <w:tabs>
              <w:tab w:val="right" w:leader="dot" w:pos="8846"/>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_Toc25353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32"/>
              <w:highlight w:val="none"/>
            </w:rPr>
            <w:t>十</w:t>
          </w:r>
          <w:r>
            <w:rPr>
              <w:rFonts w:hint="eastAsia" w:ascii="黑体" w:hAnsi="黑体" w:eastAsia="黑体" w:cs="黑体"/>
              <w:b w:val="0"/>
              <w:bCs w:val="0"/>
              <w:caps w:val="0"/>
              <w:smallCaps w:val="0"/>
              <w:szCs w:val="32"/>
              <w:highlight w:val="none"/>
              <w:lang w:eastAsia="zh-CN"/>
            </w:rPr>
            <w:t>三</w:t>
          </w:r>
          <w:r>
            <w:rPr>
              <w:rFonts w:hint="eastAsia" w:ascii="黑体" w:hAnsi="黑体" w:eastAsia="黑体" w:cs="黑体"/>
              <w:b w:val="0"/>
              <w:bCs w:val="0"/>
              <w:caps w:val="0"/>
              <w:smallCaps w:val="0"/>
              <w:szCs w:val="32"/>
              <w:highlight w:val="none"/>
            </w:rPr>
            <w:t>、定标</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_Toc25353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18</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6B53376A">
          <w:pPr>
            <w:pStyle w:val="7"/>
            <w:keepNext w:val="0"/>
            <w:keepLines w:val="0"/>
            <w:pageBreakBefore w:val="0"/>
            <w:widowControl w:val="0"/>
            <w:tabs>
              <w:tab w:val="right" w:leader="dot" w:pos="8846"/>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_Toc9765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32"/>
              <w:highlight w:val="none"/>
            </w:rPr>
            <w:t>十</w:t>
          </w:r>
          <w:r>
            <w:rPr>
              <w:rFonts w:hint="eastAsia" w:ascii="黑体" w:hAnsi="黑体" w:eastAsia="黑体" w:cs="黑体"/>
              <w:b w:val="0"/>
              <w:bCs w:val="0"/>
              <w:caps w:val="0"/>
              <w:smallCaps w:val="0"/>
              <w:szCs w:val="32"/>
              <w:highlight w:val="none"/>
              <w:lang w:eastAsia="zh-CN"/>
            </w:rPr>
            <w:t>四</w:t>
          </w:r>
          <w:r>
            <w:rPr>
              <w:rFonts w:hint="eastAsia" w:ascii="黑体" w:hAnsi="黑体" w:eastAsia="黑体" w:cs="黑体"/>
              <w:b w:val="0"/>
              <w:bCs w:val="0"/>
              <w:caps w:val="0"/>
              <w:smallCaps w:val="0"/>
              <w:szCs w:val="32"/>
              <w:highlight w:val="none"/>
            </w:rPr>
            <w:t>、结算方式</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_Toc9765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18</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17A59915">
          <w:pPr>
            <w:pStyle w:val="7"/>
            <w:keepNext w:val="0"/>
            <w:keepLines w:val="0"/>
            <w:pageBreakBefore w:val="0"/>
            <w:widowControl w:val="0"/>
            <w:tabs>
              <w:tab w:val="right" w:leader="dot" w:pos="8846"/>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_Toc17308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32"/>
              <w:highlight w:val="none"/>
            </w:rPr>
            <w:t>十</w:t>
          </w:r>
          <w:r>
            <w:rPr>
              <w:rFonts w:hint="eastAsia" w:ascii="黑体" w:hAnsi="黑体" w:eastAsia="黑体" w:cs="黑体"/>
              <w:b w:val="0"/>
              <w:bCs w:val="0"/>
              <w:caps w:val="0"/>
              <w:smallCaps w:val="0"/>
              <w:szCs w:val="32"/>
              <w:highlight w:val="none"/>
              <w:lang w:eastAsia="zh-CN"/>
            </w:rPr>
            <w:t>五</w:t>
          </w:r>
          <w:r>
            <w:rPr>
              <w:rFonts w:hint="eastAsia" w:ascii="黑体" w:hAnsi="黑体" w:eastAsia="黑体" w:cs="黑体"/>
              <w:b w:val="0"/>
              <w:bCs w:val="0"/>
              <w:caps w:val="0"/>
              <w:smallCaps w:val="0"/>
              <w:szCs w:val="32"/>
              <w:highlight w:val="none"/>
            </w:rPr>
            <w:t>、解释权</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_Toc17308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19</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50E0878F">
          <w:pPr>
            <w:pStyle w:val="14"/>
            <w:keepNext w:val="0"/>
            <w:keepLines w:val="0"/>
            <w:pageBreakBefore w:val="0"/>
            <w:widowControl w:val="0"/>
            <w:tabs>
              <w:tab w:val="right" w:leader="dot" w:pos="8846"/>
              <w:tab w:val="clear" w:pos="8295"/>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_Toc3586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32"/>
              <w:highlight w:val="none"/>
            </w:rPr>
            <w:t>第二章 评标程序及标准</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_Toc3586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20</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007A25D7">
          <w:pPr>
            <w:pStyle w:val="14"/>
            <w:keepNext w:val="0"/>
            <w:keepLines w:val="0"/>
            <w:pageBreakBefore w:val="0"/>
            <w:widowControl w:val="0"/>
            <w:tabs>
              <w:tab w:val="right" w:leader="dot" w:pos="8846"/>
              <w:tab w:val="clear" w:pos="8295"/>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_Toc220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32"/>
              <w:highlight w:val="none"/>
            </w:rPr>
            <w:t>第三章 合同条款</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_Toc220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27</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0E63D5FD">
          <w:pPr>
            <w:pStyle w:val="14"/>
            <w:keepNext w:val="0"/>
            <w:keepLines w:val="0"/>
            <w:pageBreakBefore w:val="0"/>
            <w:widowControl w:val="0"/>
            <w:tabs>
              <w:tab w:val="right" w:leader="dot" w:pos="8846"/>
              <w:tab w:val="clear" w:pos="8295"/>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_Toc17115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32"/>
              <w:highlight w:val="none"/>
            </w:rPr>
            <w:t>第四章 投标文件格式</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_Toc17115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34</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01EB3BB0">
          <w:pPr>
            <w:pStyle w:val="7"/>
            <w:keepNext w:val="0"/>
            <w:keepLines w:val="0"/>
            <w:pageBreakBefore w:val="0"/>
            <w:widowControl w:val="0"/>
            <w:tabs>
              <w:tab w:val="right" w:leader="dot" w:pos="8846"/>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_Toc15150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24"/>
              <w:highlight w:val="none"/>
            </w:rPr>
            <w:t>格式1：《唱标信封》</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_Toc15150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34</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7574D221">
          <w:pPr>
            <w:pStyle w:val="7"/>
            <w:keepNext w:val="0"/>
            <w:keepLines w:val="0"/>
            <w:pageBreakBefore w:val="0"/>
            <w:widowControl w:val="0"/>
            <w:tabs>
              <w:tab w:val="right" w:leader="dot" w:pos="8846"/>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_Toc11637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24"/>
              <w:highlight w:val="none"/>
            </w:rPr>
            <w:t>格式2：开标一览表</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_Toc11637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35</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295607A2">
          <w:pPr>
            <w:pStyle w:val="7"/>
            <w:keepNext w:val="0"/>
            <w:keepLines w:val="0"/>
            <w:pageBreakBefore w:val="0"/>
            <w:widowControl w:val="0"/>
            <w:tabs>
              <w:tab w:val="right" w:leader="dot" w:pos="8846"/>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_Toc16974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24"/>
              <w:highlight w:val="none"/>
            </w:rPr>
            <w:t>格式</w:t>
          </w:r>
          <w:r>
            <w:rPr>
              <w:rFonts w:hint="eastAsia" w:ascii="黑体" w:hAnsi="黑体" w:eastAsia="黑体" w:cs="黑体"/>
              <w:b w:val="0"/>
              <w:bCs w:val="0"/>
              <w:caps w:val="0"/>
              <w:smallCaps w:val="0"/>
              <w:szCs w:val="24"/>
              <w:highlight w:val="none"/>
              <w:lang w:val="en-US" w:eastAsia="zh-CN"/>
            </w:rPr>
            <w:t>3</w:t>
          </w:r>
          <w:r>
            <w:rPr>
              <w:rFonts w:hint="eastAsia" w:ascii="黑体" w:hAnsi="黑体" w:eastAsia="黑体" w:cs="黑体"/>
              <w:b w:val="0"/>
              <w:bCs w:val="0"/>
              <w:caps w:val="0"/>
              <w:smallCaps w:val="0"/>
              <w:szCs w:val="24"/>
              <w:highlight w:val="none"/>
            </w:rPr>
            <w:t>：</w:t>
          </w:r>
          <w:r>
            <w:rPr>
              <w:rFonts w:hint="eastAsia" w:ascii="黑体" w:hAnsi="黑体" w:eastAsia="黑体" w:cs="黑体"/>
              <w:b w:val="0"/>
              <w:bCs w:val="0"/>
              <w:caps w:val="0"/>
              <w:smallCaps w:val="0"/>
              <w:szCs w:val="24"/>
              <w:highlight w:val="none"/>
              <w:lang w:eastAsia="zh-CN"/>
            </w:rPr>
            <w:t>体检方案及</w:t>
          </w:r>
          <w:r>
            <w:rPr>
              <w:rFonts w:hint="eastAsia" w:ascii="黑体" w:hAnsi="黑体" w:eastAsia="黑体" w:cs="黑体"/>
              <w:b w:val="0"/>
              <w:bCs w:val="0"/>
              <w:caps w:val="0"/>
              <w:smallCaps w:val="0"/>
              <w:szCs w:val="24"/>
              <w:highlight w:val="none"/>
            </w:rPr>
            <w:t>报价表</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_Toc16974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36</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7266B93B">
          <w:pPr>
            <w:pStyle w:val="7"/>
            <w:keepNext w:val="0"/>
            <w:keepLines w:val="0"/>
            <w:pageBreakBefore w:val="0"/>
            <w:widowControl w:val="0"/>
            <w:tabs>
              <w:tab w:val="right" w:leader="dot" w:pos="8846"/>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_Toc2151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24"/>
              <w:highlight w:val="none"/>
              <w:lang w:val="zh-CN"/>
            </w:rPr>
            <w:t>格式4：</w:t>
          </w:r>
          <w:r>
            <w:rPr>
              <w:rFonts w:hint="eastAsia" w:ascii="黑体" w:hAnsi="黑体" w:eastAsia="黑体" w:cs="黑体"/>
              <w:b w:val="0"/>
              <w:bCs w:val="0"/>
              <w:caps w:val="0"/>
              <w:smallCaps w:val="0"/>
              <w:szCs w:val="24"/>
              <w:highlight w:val="none"/>
              <w:lang w:val="en-US" w:eastAsia="zh-CN"/>
            </w:rPr>
            <w:t>招标文件响应</w:t>
          </w:r>
          <w:r>
            <w:rPr>
              <w:rFonts w:hint="eastAsia" w:ascii="黑体" w:hAnsi="黑体" w:eastAsia="黑体" w:cs="黑体"/>
              <w:b w:val="0"/>
              <w:bCs w:val="0"/>
              <w:caps w:val="0"/>
              <w:smallCaps w:val="0"/>
              <w:szCs w:val="24"/>
              <w:highlight w:val="none"/>
              <w:lang w:val="zh-CN"/>
            </w:rPr>
            <w:t>情况</w:t>
          </w:r>
          <w:r>
            <w:rPr>
              <w:rFonts w:hint="eastAsia" w:ascii="黑体" w:hAnsi="黑体" w:eastAsia="黑体" w:cs="黑体"/>
              <w:b w:val="0"/>
              <w:bCs w:val="0"/>
              <w:caps w:val="0"/>
              <w:smallCaps w:val="0"/>
              <w:szCs w:val="24"/>
              <w:highlight w:val="none"/>
              <w:lang w:val="en-US" w:eastAsia="zh-CN"/>
            </w:rPr>
            <w:t>偏离表</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_Toc2151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37</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71B5CC58">
          <w:pPr>
            <w:pStyle w:val="7"/>
            <w:keepNext w:val="0"/>
            <w:keepLines w:val="0"/>
            <w:pageBreakBefore w:val="0"/>
            <w:widowControl w:val="0"/>
            <w:tabs>
              <w:tab w:val="right" w:leader="dot" w:pos="8846"/>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b w:val="0"/>
              <w:bCs w:val="0"/>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_Toc27438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24"/>
              <w:highlight w:val="none"/>
              <w:lang w:val="zh-CN"/>
            </w:rPr>
            <w:t>格式</w:t>
          </w:r>
          <w:r>
            <w:rPr>
              <w:rFonts w:hint="eastAsia" w:ascii="黑体" w:hAnsi="黑体" w:eastAsia="黑体" w:cs="黑体"/>
              <w:b w:val="0"/>
              <w:bCs w:val="0"/>
              <w:caps w:val="0"/>
              <w:smallCaps w:val="0"/>
              <w:szCs w:val="24"/>
              <w:highlight w:val="none"/>
              <w:lang w:val="en-US" w:eastAsia="zh-CN"/>
            </w:rPr>
            <w:t>5</w:t>
          </w:r>
          <w:r>
            <w:rPr>
              <w:rFonts w:hint="eastAsia" w:ascii="黑体" w:hAnsi="黑体" w:eastAsia="黑体" w:cs="黑体"/>
              <w:b w:val="0"/>
              <w:bCs w:val="0"/>
              <w:caps w:val="0"/>
              <w:smallCaps w:val="0"/>
              <w:szCs w:val="24"/>
              <w:highlight w:val="none"/>
              <w:lang w:val="zh-CN"/>
            </w:rPr>
            <w:t>：</w:t>
          </w:r>
          <w:r>
            <w:rPr>
              <w:rFonts w:hint="eastAsia" w:ascii="黑体" w:hAnsi="黑体" w:eastAsia="黑体" w:cs="黑体"/>
              <w:b w:val="0"/>
              <w:bCs w:val="0"/>
              <w:caps w:val="0"/>
              <w:smallCaps w:val="0"/>
              <w:szCs w:val="24"/>
              <w:highlight w:val="none"/>
              <w:lang w:val="en-US" w:eastAsia="zh-CN"/>
            </w:rPr>
            <w:t>廉洁</w:t>
          </w:r>
          <w:r>
            <w:rPr>
              <w:rFonts w:hint="eastAsia" w:ascii="黑体" w:hAnsi="黑体" w:eastAsia="黑体" w:cs="黑体"/>
              <w:b w:val="0"/>
              <w:bCs w:val="0"/>
              <w:caps w:val="0"/>
              <w:smallCaps w:val="0"/>
              <w:szCs w:val="24"/>
              <w:highlight w:val="none"/>
              <w:lang w:val="zh-CN"/>
            </w:rPr>
            <w:t>承诺函</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_Toc27438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38</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78777B0F">
          <w:pPr>
            <w:pStyle w:val="7"/>
            <w:keepNext w:val="0"/>
            <w:keepLines w:val="0"/>
            <w:pageBreakBefore w:val="0"/>
            <w:widowControl w:val="0"/>
            <w:tabs>
              <w:tab w:val="right" w:leader="dot" w:pos="8846"/>
            </w:tabs>
            <w:kinsoku/>
            <w:wordWrap/>
            <w:overflowPunct/>
            <w:topLinePunct w:val="0"/>
            <w:autoSpaceDE/>
            <w:autoSpaceDN/>
            <w:bidi w:val="0"/>
            <w:adjustRightInd/>
            <w:snapToGrid/>
            <w:spacing w:line="300" w:lineRule="exact"/>
            <w:ind w:left="0" w:leftChars="0" w:firstLine="420" w:firstLineChars="200"/>
            <w:textAlignment w:val="auto"/>
            <w:rPr>
              <w:rFonts w:hint="eastAsia" w:ascii="黑体" w:hAnsi="黑体" w:eastAsia="黑体" w:cs="黑体"/>
              <w:caps w:val="0"/>
              <w:smallCaps w:val="0"/>
            </w:rPr>
          </w:pPr>
          <w:r>
            <w:rPr>
              <w:rFonts w:hint="eastAsia" w:ascii="黑体" w:hAnsi="黑体" w:eastAsia="黑体" w:cs="黑体"/>
              <w:b w:val="0"/>
              <w:bCs w:val="0"/>
              <w:caps w:val="0"/>
              <w:smallCaps w:val="0"/>
              <w:szCs w:val="28"/>
              <w:highlight w:val="none"/>
            </w:rPr>
            <w:fldChar w:fldCharType="begin"/>
          </w:r>
          <w:r>
            <w:rPr>
              <w:rFonts w:hint="eastAsia" w:ascii="黑体" w:hAnsi="黑体" w:eastAsia="黑体" w:cs="黑体"/>
              <w:b w:val="0"/>
              <w:bCs w:val="0"/>
              <w:caps w:val="0"/>
              <w:smallCaps w:val="0"/>
              <w:szCs w:val="28"/>
              <w:highlight w:val="none"/>
            </w:rPr>
            <w:instrText xml:space="preserve"> HYPERLINK \l _Toc12501 </w:instrText>
          </w:r>
          <w:r>
            <w:rPr>
              <w:rFonts w:hint="eastAsia" w:ascii="黑体" w:hAnsi="黑体" w:eastAsia="黑体" w:cs="黑体"/>
              <w:b w:val="0"/>
              <w:bCs w:val="0"/>
              <w:caps w:val="0"/>
              <w:smallCaps w:val="0"/>
              <w:szCs w:val="28"/>
              <w:highlight w:val="none"/>
            </w:rPr>
            <w:fldChar w:fldCharType="separate"/>
          </w:r>
          <w:r>
            <w:rPr>
              <w:rFonts w:hint="eastAsia" w:ascii="黑体" w:hAnsi="黑体" w:eastAsia="黑体" w:cs="黑体"/>
              <w:b w:val="0"/>
              <w:bCs w:val="0"/>
              <w:caps w:val="0"/>
              <w:smallCaps w:val="0"/>
              <w:szCs w:val="24"/>
              <w:highlight w:val="none"/>
              <w:lang w:val="zh-CN"/>
            </w:rPr>
            <w:t>格式</w:t>
          </w:r>
          <w:r>
            <w:rPr>
              <w:rFonts w:hint="eastAsia" w:ascii="黑体" w:hAnsi="黑体" w:eastAsia="黑体" w:cs="黑体"/>
              <w:b w:val="0"/>
              <w:bCs w:val="0"/>
              <w:caps w:val="0"/>
              <w:smallCaps w:val="0"/>
              <w:szCs w:val="24"/>
              <w:highlight w:val="none"/>
              <w:lang w:val="en-US" w:eastAsia="zh-CN"/>
            </w:rPr>
            <w:t>6</w:t>
          </w:r>
          <w:r>
            <w:rPr>
              <w:rFonts w:hint="eastAsia" w:ascii="黑体" w:hAnsi="黑体" w:eastAsia="黑体" w:cs="黑体"/>
              <w:b w:val="0"/>
              <w:bCs w:val="0"/>
              <w:caps w:val="0"/>
              <w:smallCaps w:val="0"/>
              <w:szCs w:val="24"/>
              <w:highlight w:val="none"/>
              <w:lang w:val="zh-CN"/>
            </w:rPr>
            <w:t>：</w:t>
          </w:r>
          <w:r>
            <w:rPr>
              <w:rFonts w:hint="eastAsia" w:ascii="黑体" w:hAnsi="黑体" w:eastAsia="黑体" w:cs="黑体"/>
              <w:b w:val="0"/>
              <w:bCs w:val="0"/>
              <w:caps w:val="0"/>
              <w:smallCaps w:val="0"/>
              <w:szCs w:val="24"/>
              <w:highlight w:val="none"/>
              <w:lang w:val="en-US" w:eastAsia="zh-CN"/>
            </w:rPr>
            <w:t>服务保价</w:t>
          </w:r>
          <w:r>
            <w:rPr>
              <w:rFonts w:hint="eastAsia" w:ascii="黑体" w:hAnsi="黑体" w:eastAsia="黑体" w:cs="黑体"/>
              <w:b w:val="0"/>
              <w:bCs w:val="0"/>
              <w:caps w:val="0"/>
              <w:smallCaps w:val="0"/>
              <w:szCs w:val="24"/>
              <w:highlight w:val="none"/>
              <w:lang w:val="zh-CN"/>
            </w:rPr>
            <w:t>承诺函</w:t>
          </w:r>
          <w:r>
            <w:rPr>
              <w:rFonts w:hint="eastAsia" w:ascii="黑体" w:hAnsi="黑体" w:eastAsia="黑体" w:cs="黑体"/>
              <w:b w:val="0"/>
              <w:bCs w:val="0"/>
              <w:caps w:val="0"/>
              <w:smallCaps w:val="0"/>
            </w:rPr>
            <w:tab/>
          </w:r>
          <w:r>
            <w:rPr>
              <w:rFonts w:hint="eastAsia" w:ascii="黑体" w:hAnsi="黑体" w:eastAsia="黑体" w:cs="黑体"/>
              <w:b w:val="0"/>
              <w:bCs w:val="0"/>
              <w:caps w:val="0"/>
              <w:smallCaps w:val="0"/>
            </w:rPr>
            <w:fldChar w:fldCharType="begin"/>
          </w:r>
          <w:r>
            <w:rPr>
              <w:rFonts w:hint="eastAsia" w:ascii="黑体" w:hAnsi="黑体" w:eastAsia="黑体" w:cs="黑体"/>
              <w:b w:val="0"/>
              <w:bCs w:val="0"/>
              <w:caps w:val="0"/>
              <w:smallCaps w:val="0"/>
            </w:rPr>
            <w:instrText xml:space="preserve"> PAGEREF _Toc12501 \h </w:instrText>
          </w:r>
          <w:r>
            <w:rPr>
              <w:rFonts w:hint="eastAsia" w:ascii="黑体" w:hAnsi="黑体" w:eastAsia="黑体" w:cs="黑体"/>
              <w:b w:val="0"/>
              <w:bCs w:val="0"/>
              <w:caps w:val="0"/>
              <w:smallCaps w:val="0"/>
            </w:rPr>
            <w:fldChar w:fldCharType="separate"/>
          </w:r>
          <w:r>
            <w:rPr>
              <w:rFonts w:hint="eastAsia" w:ascii="黑体" w:hAnsi="黑体" w:eastAsia="黑体" w:cs="黑体"/>
              <w:b w:val="0"/>
              <w:bCs w:val="0"/>
              <w:caps w:val="0"/>
              <w:smallCaps w:val="0"/>
            </w:rPr>
            <w:t>39</w:t>
          </w:r>
          <w:r>
            <w:rPr>
              <w:rFonts w:hint="eastAsia" w:ascii="黑体" w:hAnsi="黑体" w:eastAsia="黑体" w:cs="黑体"/>
              <w:b w:val="0"/>
              <w:bCs w:val="0"/>
              <w:caps w:val="0"/>
              <w:smallCaps w:val="0"/>
            </w:rPr>
            <w:fldChar w:fldCharType="end"/>
          </w:r>
          <w:r>
            <w:rPr>
              <w:rFonts w:hint="eastAsia" w:ascii="黑体" w:hAnsi="黑体" w:eastAsia="黑体" w:cs="黑体"/>
              <w:b w:val="0"/>
              <w:bCs w:val="0"/>
              <w:caps w:val="0"/>
              <w:smallCaps w:val="0"/>
              <w:szCs w:val="28"/>
              <w:highlight w:val="none"/>
            </w:rPr>
            <w:fldChar w:fldCharType="end"/>
          </w:r>
        </w:p>
        <w:p w14:paraId="4C08E10D">
          <w:pPr>
            <w:pStyle w:val="13"/>
            <w:keepNext w:val="0"/>
            <w:keepLines w:val="0"/>
            <w:pageBreakBefore w:val="0"/>
            <w:widowControl w:val="0"/>
            <w:kinsoku/>
            <w:wordWrap/>
            <w:overflowPunct/>
            <w:topLinePunct w:val="0"/>
            <w:autoSpaceDE/>
            <w:autoSpaceDN/>
            <w:bidi w:val="0"/>
            <w:adjustRightInd/>
            <w:snapToGrid/>
            <w:spacing w:before="0" w:after="0" w:line="300" w:lineRule="exact"/>
            <w:ind w:left="0" w:leftChars="0" w:firstLine="643" w:firstLineChars="200"/>
            <w:jc w:val="both"/>
            <w:textAlignment w:val="auto"/>
            <w:outlineLvl w:val="9"/>
            <w:rPr>
              <w:rFonts w:hint="eastAsia" w:ascii="Times New Roman" w:hAnsi="Times New Roman" w:eastAsia="仿宋" w:cs="仿宋"/>
              <w:b w:val="0"/>
              <w:bCs/>
              <w:caps w:val="0"/>
              <w:smallCaps w:val="0"/>
              <w:sz w:val="28"/>
              <w:szCs w:val="28"/>
              <w:highlight w:val="none"/>
            </w:rPr>
          </w:pPr>
          <w:r>
            <w:rPr>
              <w:rFonts w:hint="eastAsia" w:ascii="黑体" w:hAnsi="黑体" w:eastAsia="黑体" w:cs="黑体"/>
              <w:bCs/>
              <w:caps w:val="0"/>
              <w:smallCaps w:val="0"/>
              <w:szCs w:val="28"/>
              <w:highlight w:val="none"/>
            </w:rPr>
            <w:fldChar w:fldCharType="end"/>
          </w:r>
        </w:p>
      </w:sdtContent>
    </w:sdt>
    <w:p w14:paraId="497C80D5">
      <w:pPr>
        <w:widowControl/>
        <w:spacing w:beforeLines="30" w:line="360" w:lineRule="auto"/>
        <w:ind w:firstLine="442" w:firstLineChars="200"/>
        <w:jc w:val="left"/>
        <w:rPr>
          <w:rFonts w:asciiTheme="minorEastAsia" w:hAnsiTheme="minorEastAsia"/>
          <w:b/>
          <w:bCs w:val="0"/>
          <w:sz w:val="22"/>
          <w:highlight w:val="none"/>
        </w:rPr>
      </w:pPr>
    </w:p>
    <w:p w14:paraId="2DD55692">
      <w:pPr>
        <w:pStyle w:val="3"/>
        <w:spacing w:line="480" w:lineRule="exact"/>
        <w:jc w:val="center"/>
        <w:rPr>
          <w:rFonts w:hint="eastAsia" w:ascii="宋体" w:hAnsi="宋体" w:eastAsia="宋体" w:cs="宋体"/>
          <w:b/>
          <w:bCs w:val="0"/>
          <w:sz w:val="28"/>
          <w:szCs w:val="28"/>
          <w:highlight w:val="none"/>
        </w:rPr>
      </w:pPr>
      <w:bookmarkStart w:id="3" w:name="_Toc4395"/>
    </w:p>
    <w:p w14:paraId="1833C5D1">
      <w:pPr>
        <w:rPr>
          <w:rFonts w:hint="eastAsia"/>
        </w:rPr>
      </w:pPr>
    </w:p>
    <w:p w14:paraId="3D56D88C">
      <w:pPr>
        <w:rPr>
          <w:rFonts w:hint="eastAsia" w:ascii="宋体" w:hAnsi="宋体" w:eastAsia="宋体" w:cs="宋体"/>
          <w:b/>
          <w:bCs w:val="0"/>
          <w:sz w:val="28"/>
          <w:szCs w:val="28"/>
          <w:highlight w:val="none"/>
          <w:lang w:val="en-US" w:eastAsia="zh-CN"/>
        </w:rPr>
      </w:pPr>
    </w:p>
    <w:p w14:paraId="278A94A3">
      <w:pPr>
        <w:rPr>
          <w:rFonts w:hint="eastAsia" w:ascii="宋体" w:hAnsi="宋体" w:eastAsia="宋体" w:cs="宋体"/>
          <w:b/>
          <w:bCs w:val="0"/>
          <w:sz w:val="28"/>
          <w:szCs w:val="28"/>
          <w:highlight w:val="none"/>
          <w:lang w:val="en-US" w:eastAsia="zh-CN"/>
        </w:rPr>
      </w:pPr>
    </w:p>
    <w:p w14:paraId="305F2F41">
      <w:pPr>
        <w:rPr>
          <w:rFonts w:hint="eastAsia" w:ascii="宋体" w:hAnsi="宋体" w:eastAsia="宋体" w:cs="宋体"/>
          <w:b/>
          <w:bCs w:val="0"/>
          <w:sz w:val="28"/>
          <w:szCs w:val="28"/>
          <w:highlight w:val="none"/>
        </w:rPr>
      </w:pPr>
    </w:p>
    <w:p w14:paraId="61C123A2">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2"/>
          <w:szCs w:val="32"/>
          <w:highlight w:val="none"/>
          <w:lang w:val="en-US" w:eastAsia="zh-CN"/>
        </w:rPr>
      </w:pPr>
      <w:bookmarkStart w:id="4" w:name="_Toc31261"/>
      <w:bookmarkStart w:id="5" w:name="第一部分"/>
      <w:bookmarkStart w:id="6" w:name="_Toc7967"/>
      <w:r>
        <w:rPr>
          <w:rFonts w:hint="eastAsia" w:ascii="黑体" w:hAnsi="黑体" w:eastAsia="黑体" w:cs="黑体"/>
          <w:b w:val="0"/>
          <w:bCs/>
          <w:sz w:val="32"/>
          <w:szCs w:val="32"/>
          <w:highlight w:val="none"/>
          <w:lang w:val="en-US" w:eastAsia="zh-CN"/>
        </w:rPr>
        <w:t>第一部分 招标公告</w:t>
      </w:r>
      <w:bookmarkEnd w:id="4"/>
    </w:p>
    <w:bookmarkEnd w:id="5"/>
    <w:p w14:paraId="11568D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pacing w:val="-11"/>
          <w:sz w:val="44"/>
          <w:szCs w:val="44"/>
          <w:highlight w:val="none"/>
        </w:rPr>
      </w:pPr>
      <w:bookmarkStart w:id="7" w:name="_Toc21316"/>
      <w:bookmarkStart w:id="8" w:name="_Toc22867"/>
      <w:r>
        <w:rPr>
          <w:rFonts w:hint="eastAsia" w:ascii="Times New Roman" w:hAnsi="Times New Roman" w:eastAsia="方正小标宋简体" w:cs="方正小标宋简体"/>
          <w:b w:val="0"/>
          <w:bCs/>
          <w:spacing w:val="-11"/>
          <w:sz w:val="44"/>
          <w:szCs w:val="44"/>
          <w:highlight w:val="none"/>
        </w:rPr>
        <w:t>深圳市鹏劳人力资源管理有限公司</w:t>
      </w:r>
    </w:p>
    <w:p w14:paraId="0D09E5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spacing w:val="-11"/>
          <w:sz w:val="44"/>
          <w:szCs w:val="44"/>
          <w:highlight w:val="none"/>
          <w:lang w:val="en-US" w:eastAsia="zh-CN"/>
        </w:rPr>
      </w:pPr>
      <w:r>
        <w:rPr>
          <w:rFonts w:hint="eastAsia" w:ascii="Times New Roman" w:hAnsi="Times New Roman" w:eastAsia="方正小标宋简体" w:cs="方正小标宋简体"/>
          <w:b w:val="0"/>
          <w:bCs/>
          <w:spacing w:val="-11"/>
          <w:sz w:val="44"/>
          <w:szCs w:val="44"/>
          <w:highlight w:val="none"/>
          <w:lang w:val="en-US" w:eastAsia="zh-CN"/>
        </w:rPr>
        <w:t>2025年度</w:t>
      </w:r>
      <w:r>
        <w:rPr>
          <w:rFonts w:hint="eastAsia" w:ascii="Times New Roman" w:hAnsi="Times New Roman" w:eastAsia="方正小标宋简体" w:cs="方正小标宋简体"/>
          <w:b w:val="0"/>
          <w:bCs/>
          <w:spacing w:val="-11"/>
          <w:sz w:val="44"/>
          <w:szCs w:val="44"/>
          <w:highlight w:val="none"/>
        </w:rPr>
        <w:t>员工</w:t>
      </w:r>
      <w:r>
        <w:rPr>
          <w:rFonts w:hint="eastAsia" w:ascii="Times New Roman" w:hAnsi="Times New Roman" w:eastAsia="方正小标宋简体" w:cs="方正小标宋简体"/>
          <w:b w:val="0"/>
          <w:bCs/>
          <w:spacing w:val="-11"/>
          <w:sz w:val="44"/>
          <w:szCs w:val="44"/>
          <w:highlight w:val="none"/>
          <w:lang w:val="en-US" w:eastAsia="zh-CN"/>
        </w:rPr>
        <w:t>健康</w:t>
      </w:r>
      <w:r>
        <w:rPr>
          <w:rFonts w:hint="eastAsia" w:ascii="Times New Roman" w:hAnsi="Times New Roman" w:eastAsia="方正小标宋简体" w:cs="方正小标宋简体"/>
          <w:b w:val="0"/>
          <w:bCs/>
          <w:spacing w:val="-11"/>
          <w:sz w:val="44"/>
          <w:szCs w:val="44"/>
          <w:highlight w:val="none"/>
        </w:rPr>
        <w:t>体检</w:t>
      </w:r>
      <w:r>
        <w:rPr>
          <w:rFonts w:hint="eastAsia" w:ascii="Times New Roman" w:hAnsi="Times New Roman" w:eastAsia="方正小标宋简体" w:cs="方正小标宋简体"/>
          <w:b w:val="0"/>
          <w:bCs/>
          <w:spacing w:val="-11"/>
          <w:sz w:val="44"/>
          <w:szCs w:val="44"/>
          <w:highlight w:val="none"/>
          <w:lang w:val="en-US" w:eastAsia="zh-CN"/>
        </w:rPr>
        <w:t>项目（二次）</w:t>
      </w:r>
    </w:p>
    <w:p w14:paraId="47F3703B">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pacing w:val="-11"/>
          <w:kern w:val="2"/>
          <w:sz w:val="44"/>
          <w:szCs w:val="44"/>
          <w:highlight w:val="none"/>
          <w:lang w:val="en-US" w:eastAsia="zh-CN" w:bidi="ar-SA"/>
        </w:rPr>
      </w:pPr>
      <w:bookmarkStart w:id="9" w:name="_Toc27902"/>
      <w:r>
        <w:rPr>
          <w:rFonts w:hint="eastAsia" w:ascii="Times New Roman" w:hAnsi="Times New Roman" w:eastAsia="方正小标宋简体" w:cs="方正小标宋简体"/>
          <w:b w:val="0"/>
          <w:bCs/>
          <w:spacing w:val="-11"/>
          <w:kern w:val="2"/>
          <w:sz w:val="44"/>
          <w:szCs w:val="44"/>
          <w:highlight w:val="none"/>
          <w:lang w:val="en-US" w:eastAsia="zh-CN" w:bidi="ar-SA"/>
        </w:rPr>
        <w:t>招标公告</w:t>
      </w:r>
      <w:bookmarkEnd w:id="6"/>
      <w:bookmarkEnd w:id="7"/>
      <w:bookmarkEnd w:id="8"/>
      <w:bookmarkEnd w:id="9"/>
    </w:p>
    <w:p w14:paraId="53F25BEC">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仿宋_GB2312"/>
          <w:bCs/>
          <w:sz w:val="32"/>
          <w:szCs w:val="32"/>
          <w:highlight w:val="none"/>
          <w:lang w:eastAsia="zh-CN"/>
        </w:rPr>
      </w:pPr>
      <w:r>
        <w:rPr>
          <w:rFonts w:hint="eastAsia" w:ascii="Times New Roman" w:hAnsi="Times New Roman" w:eastAsia="仿宋_GB2312" w:cs="仿宋_GB2312"/>
          <w:bCs/>
          <w:sz w:val="32"/>
          <w:szCs w:val="32"/>
          <w:highlight w:val="none"/>
          <w:lang w:eastAsia="zh-CN"/>
        </w:rPr>
        <w:t>根据《深圳市鹏劳人力资源管理有限公司采购管理暂行办法》、《深圳市鹏劳人力资源管理有限公司招标管理暂行办法》等</w:t>
      </w:r>
      <w:r>
        <w:rPr>
          <w:rFonts w:hint="eastAsia" w:ascii="Times New Roman" w:hAnsi="Times New Roman" w:eastAsia="仿宋_GB2312" w:cs="仿宋_GB2312"/>
          <w:bCs/>
          <w:sz w:val="32"/>
          <w:szCs w:val="32"/>
          <w:highlight w:val="none"/>
        </w:rPr>
        <w:t>有关规定，</w:t>
      </w:r>
      <w:r>
        <w:rPr>
          <w:rFonts w:hint="eastAsia" w:ascii="Times New Roman" w:hAnsi="Times New Roman" w:eastAsia="仿宋_GB2312" w:cs="仿宋_GB2312"/>
          <w:bCs/>
          <w:sz w:val="32"/>
          <w:szCs w:val="32"/>
          <w:highlight w:val="none"/>
          <w:lang w:eastAsia="zh-CN"/>
        </w:rPr>
        <w:t>现就本公司员工</w:t>
      </w:r>
      <w:r>
        <w:rPr>
          <w:rFonts w:hint="eastAsia" w:ascii="Times New Roman" w:hAnsi="Times New Roman" w:eastAsia="仿宋_GB2312" w:cs="仿宋_GB2312"/>
          <w:bCs/>
          <w:sz w:val="32"/>
          <w:szCs w:val="32"/>
          <w:highlight w:val="none"/>
          <w:lang w:val="en-US" w:eastAsia="zh-CN"/>
        </w:rPr>
        <w:t>健康</w:t>
      </w:r>
      <w:r>
        <w:rPr>
          <w:rFonts w:hint="eastAsia" w:ascii="Times New Roman" w:hAnsi="Times New Roman" w:eastAsia="仿宋_GB2312" w:cs="仿宋_GB2312"/>
          <w:bCs/>
          <w:sz w:val="32"/>
          <w:szCs w:val="32"/>
          <w:highlight w:val="none"/>
          <w:lang w:eastAsia="zh-CN"/>
        </w:rPr>
        <w:t>体检项目（</w:t>
      </w:r>
      <w:r>
        <w:rPr>
          <w:rFonts w:hint="eastAsia" w:ascii="Times New Roman" w:hAnsi="Times New Roman" w:eastAsia="仿宋_GB2312" w:cs="仿宋_GB2312"/>
          <w:bCs/>
          <w:sz w:val="32"/>
          <w:szCs w:val="32"/>
          <w:highlight w:val="none"/>
          <w:lang w:val="en-US" w:eastAsia="zh-CN"/>
        </w:rPr>
        <w:t>项目编号：PLHR-ZB-FW-20250601</w:t>
      </w:r>
      <w:r>
        <w:rPr>
          <w:rFonts w:hint="eastAsia" w:ascii="Times New Roman" w:hAnsi="Times New Roman" w:eastAsia="仿宋_GB2312" w:cs="仿宋_GB2312"/>
          <w:bCs/>
          <w:sz w:val="32"/>
          <w:szCs w:val="32"/>
          <w:highlight w:val="none"/>
          <w:lang w:eastAsia="zh-CN"/>
        </w:rPr>
        <w:t>）面向社会各供方实施</w:t>
      </w:r>
      <w:r>
        <w:rPr>
          <w:rFonts w:hint="eastAsia" w:ascii="Times New Roman" w:hAnsi="Times New Roman" w:eastAsia="仿宋_GB2312" w:cs="仿宋_GB2312"/>
          <w:bCs/>
          <w:sz w:val="32"/>
          <w:szCs w:val="32"/>
          <w:highlight w:val="none"/>
          <w:lang w:val="en-US" w:eastAsia="zh-CN"/>
        </w:rPr>
        <w:t>公开招标</w:t>
      </w:r>
      <w:r>
        <w:rPr>
          <w:rFonts w:hint="eastAsia" w:ascii="Times New Roman" w:hAnsi="Times New Roman" w:eastAsia="仿宋_GB2312" w:cs="仿宋_GB2312"/>
          <w:bCs/>
          <w:sz w:val="32"/>
          <w:szCs w:val="32"/>
          <w:highlight w:val="none"/>
        </w:rPr>
        <w:t>，</w:t>
      </w:r>
      <w:r>
        <w:rPr>
          <w:rFonts w:hint="eastAsia" w:ascii="Times New Roman" w:hAnsi="Times New Roman" w:eastAsia="仿宋_GB2312" w:cs="仿宋_GB2312"/>
          <w:bCs/>
          <w:sz w:val="32"/>
          <w:szCs w:val="32"/>
          <w:highlight w:val="none"/>
          <w:lang w:eastAsia="zh-CN"/>
        </w:rPr>
        <w:t>请有意向参与投标的供方下载《深圳市鹏劳人力资源管理有限公司员工</w:t>
      </w:r>
      <w:r>
        <w:rPr>
          <w:rFonts w:hint="eastAsia" w:ascii="Times New Roman" w:hAnsi="Times New Roman" w:eastAsia="仿宋_GB2312" w:cs="仿宋_GB2312"/>
          <w:bCs/>
          <w:sz w:val="32"/>
          <w:szCs w:val="32"/>
          <w:highlight w:val="none"/>
          <w:lang w:val="en-US" w:eastAsia="zh-CN"/>
        </w:rPr>
        <w:t>2025年度员工健康体检项目（二次）</w:t>
      </w:r>
      <w:r>
        <w:rPr>
          <w:rFonts w:hint="eastAsia" w:ascii="Times New Roman" w:hAnsi="Times New Roman" w:eastAsia="仿宋_GB2312" w:cs="仿宋_GB2312"/>
          <w:bCs/>
          <w:sz w:val="32"/>
          <w:szCs w:val="32"/>
          <w:highlight w:val="none"/>
          <w:lang w:eastAsia="zh-CN"/>
        </w:rPr>
        <w:t>招标文件》（本公告附件</w:t>
      </w:r>
      <w:r>
        <w:rPr>
          <w:rFonts w:hint="eastAsia" w:ascii="Times New Roman" w:hAnsi="Times New Roman" w:eastAsia="仿宋_GB2312" w:cs="仿宋_GB2312"/>
          <w:bCs/>
          <w:sz w:val="32"/>
          <w:szCs w:val="32"/>
          <w:highlight w:val="none"/>
          <w:lang w:val="en-US" w:eastAsia="zh-CN"/>
        </w:rPr>
        <w:t>2</w:t>
      </w:r>
      <w:r>
        <w:rPr>
          <w:rFonts w:hint="eastAsia" w:ascii="Times New Roman" w:hAnsi="Times New Roman" w:eastAsia="仿宋_GB2312" w:cs="仿宋_GB2312"/>
          <w:bCs/>
          <w:sz w:val="32"/>
          <w:szCs w:val="32"/>
          <w:highlight w:val="none"/>
          <w:lang w:eastAsia="zh-CN"/>
        </w:rPr>
        <w:t>），按招标文件及本公告要求实施投标：</w:t>
      </w:r>
    </w:p>
    <w:p w14:paraId="6459D09D">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rPr>
        <w:t>项目</w:t>
      </w:r>
      <w:r>
        <w:rPr>
          <w:rFonts w:hint="eastAsia" w:ascii="黑体" w:hAnsi="黑体" w:eastAsia="黑体" w:cs="黑体"/>
          <w:bCs/>
          <w:sz w:val="32"/>
          <w:szCs w:val="32"/>
          <w:highlight w:val="none"/>
          <w:lang w:eastAsia="zh-CN"/>
        </w:rPr>
        <w:t>名称</w:t>
      </w:r>
    </w:p>
    <w:p w14:paraId="402DD531">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_GB2312"/>
          <w:bCs/>
          <w:sz w:val="32"/>
          <w:szCs w:val="32"/>
          <w:highlight w:val="none"/>
          <w:lang w:val="en-US" w:eastAsia="zh-CN"/>
        </w:rPr>
      </w:pPr>
      <w:r>
        <w:rPr>
          <w:rFonts w:hint="eastAsia" w:ascii="Times New Roman" w:hAnsi="Times New Roman" w:eastAsia="仿宋_GB2312" w:cs="仿宋_GB2312"/>
          <w:bCs/>
          <w:sz w:val="32"/>
          <w:szCs w:val="32"/>
          <w:highlight w:val="none"/>
          <w:lang w:eastAsia="zh-CN"/>
        </w:rPr>
        <w:t>深圳市鹏劳人力资源管理有限公司</w:t>
      </w:r>
      <w:r>
        <w:rPr>
          <w:rFonts w:hint="eastAsia" w:ascii="Times New Roman" w:hAnsi="Times New Roman" w:eastAsia="仿宋_GB2312" w:cs="仿宋_GB2312"/>
          <w:bCs/>
          <w:sz w:val="32"/>
          <w:szCs w:val="32"/>
          <w:highlight w:val="none"/>
          <w:lang w:val="en-US" w:eastAsia="zh-CN"/>
        </w:rPr>
        <w:t>2025</w:t>
      </w:r>
      <w:r>
        <w:rPr>
          <w:rFonts w:hint="eastAsia" w:ascii="Times New Roman" w:hAnsi="Times New Roman" w:eastAsia="仿宋_GB2312" w:cs="仿宋_GB2312"/>
          <w:bCs/>
          <w:sz w:val="32"/>
          <w:szCs w:val="32"/>
          <w:highlight w:val="none"/>
          <w:lang w:eastAsia="zh-CN"/>
        </w:rPr>
        <w:t>年度员工健康体检</w:t>
      </w:r>
      <w:r>
        <w:rPr>
          <w:rFonts w:hint="eastAsia" w:ascii="Times New Roman" w:hAnsi="Times New Roman" w:eastAsia="仿宋_GB2312" w:cs="仿宋_GB2312"/>
          <w:bCs/>
          <w:sz w:val="32"/>
          <w:szCs w:val="32"/>
          <w:highlight w:val="none"/>
          <w:lang w:val="en-US" w:eastAsia="zh-CN"/>
        </w:rPr>
        <w:t>项目（二次）</w:t>
      </w:r>
    </w:p>
    <w:p w14:paraId="7AEFD90E">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lang w:val="en-US" w:eastAsia="zh-CN"/>
        </w:rPr>
        <w:t>项目编号</w:t>
      </w:r>
    </w:p>
    <w:p w14:paraId="7C52CD17">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黑体"/>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PLHR-ZB-FW-20250601</w:t>
      </w:r>
    </w:p>
    <w:p w14:paraId="0EC649EE">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项目需求</w:t>
      </w:r>
    </w:p>
    <w:p w14:paraId="232E35B4">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仿宋"/>
          <w:bCs/>
          <w:sz w:val="32"/>
          <w:szCs w:val="32"/>
          <w:highlight w:val="none"/>
          <w:lang w:val="en-US" w:eastAsia="zh-CN"/>
        </w:rPr>
      </w:pPr>
      <w:r>
        <w:rPr>
          <w:rFonts w:hint="eastAsia" w:ascii="Times New Roman" w:hAnsi="Times New Roman" w:eastAsia="仿宋_GB2312" w:cs="仿宋"/>
          <w:bCs/>
          <w:sz w:val="32"/>
          <w:szCs w:val="32"/>
          <w:highlight w:val="none"/>
          <w:lang w:eastAsia="zh-CN"/>
        </w:rPr>
        <w:t>为深圳市鹏劳人力资源管理有限公司工作满一年以上员工提供</w:t>
      </w:r>
      <w:r>
        <w:rPr>
          <w:rFonts w:hint="eastAsia" w:ascii="Times New Roman" w:hAnsi="Times New Roman" w:eastAsia="仿宋_GB2312" w:cs="仿宋"/>
          <w:bCs/>
          <w:sz w:val="32"/>
          <w:szCs w:val="32"/>
          <w:highlight w:val="none"/>
          <w:lang w:val="en-US" w:eastAsia="zh-CN"/>
        </w:rPr>
        <w:t>2025年度健康体检及随附服务。</w:t>
      </w:r>
    </w:p>
    <w:p w14:paraId="4672FC5A">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default"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项目服务费用</w:t>
      </w:r>
    </w:p>
    <w:p w14:paraId="3ADD6A0E">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64" w:firstLineChars="200"/>
        <w:textAlignment w:val="auto"/>
        <w:rPr>
          <w:rFonts w:hint="default" w:ascii="Times New Roman" w:hAnsi="Times New Roman" w:eastAsia="仿宋_GB2312" w:cs="仿宋"/>
          <w:b w:val="0"/>
          <w:bCs/>
          <w:spacing w:val="6"/>
          <w:sz w:val="32"/>
          <w:szCs w:val="32"/>
          <w:lang w:val="en-US" w:eastAsia="zh-CN"/>
        </w:rPr>
      </w:pPr>
      <w:r>
        <w:rPr>
          <w:rFonts w:hint="eastAsia" w:ascii="Times New Roman" w:hAnsi="Times New Roman" w:eastAsia="仿宋_GB2312" w:cs="仿宋"/>
          <w:b w:val="0"/>
          <w:bCs/>
          <w:spacing w:val="6"/>
          <w:sz w:val="32"/>
          <w:szCs w:val="32"/>
          <w:lang w:val="en-US" w:eastAsia="zh-CN"/>
        </w:rPr>
        <w:t>本项</w:t>
      </w:r>
      <w:r>
        <w:rPr>
          <w:rFonts w:hint="eastAsia" w:ascii="Times New Roman" w:hAnsi="Times New Roman" w:eastAsia="仿宋_GB2312" w:cs="仿宋"/>
          <w:b w:val="0"/>
          <w:bCs/>
          <w:spacing w:val="6"/>
          <w:sz w:val="32"/>
          <w:szCs w:val="32"/>
          <w:highlight w:val="none"/>
          <w:lang w:val="en-US" w:eastAsia="zh-CN"/>
        </w:rPr>
        <w:t>目总预算价为人民币377500元（</w:t>
      </w:r>
      <w:r>
        <w:rPr>
          <w:rFonts w:hint="eastAsia" w:ascii="Times New Roman" w:hAnsi="Times New Roman" w:eastAsia="仿宋_GB2312" w:cs="仿宋"/>
          <w:b w:val="0"/>
          <w:bCs/>
          <w:spacing w:val="6"/>
          <w:sz w:val="32"/>
          <w:szCs w:val="32"/>
          <w:lang w:val="en-US" w:eastAsia="zh-CN"/>
        </w:rPr>
        <w:t>含增值税）</w:t>
      </w:r>
      <w:r>
        <w:rPr>
          <w:rFonts w:hint="eastAsia" w:ascii="Times New Roman" w:eastAsia="仿宋_GB2312" w:cs="仿宋"/>
          <w:b w:val="0"/>
          <w:bCs/>
          <w:spacing w:val="6"/>
          <w:sz w:val="32"/>
          <w:szCs w:val="32"/>
          <w:lang w:val="en-US" w:eastAsia="zh-CN"/>
        </w:rPr>
        <w:t>。</w:t>
      </w:r>
    </w:p>
    <w:p w14:paraId="1149C0EA">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项目期限</w:t>
      </w:r>
    </w:p>
    <w:p w14:paraId="55607BAE">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仿宋"/>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本项目期限</w:t>
      </w:r>
      <w:r>
        <w:rPr>
          <w:rFonts w:hint="eastAsia" w:ascii="Times New Roman" w:hAnsi="Times New Roman" w:eastAsia="仿宋_GB2312" w:cs="仿宋"/>
          <w:bCs/>
          <w:sz w:val="32"/>
          <w:szCs w:val="32"/>
          <w:highlight w:val="none"/>
          <w:lang w:eastAsia="zh-CN"/>
        </w:rPr>
        <w:t>为订立合同之日起至招标人指定员工年度健康体检全部完成，招标人员工自行放弃体检的情况除外。</w:t>
      </w:r>
    </w:p>
    <w:p w14:paraId="5ACFDB3A">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投标人资质要求</w:t>
      </w:r>
    </w:p>
    <w:p w14:paraId="3CE2F81C">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default" w:ascii="Times New Roman" w:hAnsi="Times New Roman" w:eastAsia="仿宋_GB2312" w:cs="仿宋"/>
          <w:bCs/>
          <w:sz w:val="32"/>
          <w:szCs w:val="32"/>
          <w:highlight w:val="none"/>
          <w:lang w:val="en-US" w:eastAsia="zh-CN"/>
        </w:rPr>
        <w:t>（一）投标人应为国内合法合规注册，具备独立法人资格，且根据国家《医院分级管理办法》评级达到三级甲等的医院</w:t>
      </w:r>
      <w:r>
        <w:rPr>
          <w:rFonts w:hint="eastAsia" w:ascii="Times New Roman" w:hAnsi="Times New Roman" w:eastAsia="仿宋_GB2312" w:cs="仿宋"/>
          <w:bCs/>
          <w:sz w:val="32"/>
          <w:szCs w:val="32"/>
          <w:highlight w:val="none"/>
          <w:lang w:val="en-US" w:eastAsia="zh-CN"/>
        </w:rPr>
        <w:t>。</w:t>
      </w:r>
    </w:p>
    <w:p w14:paraId="7107C268">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default" w:ascii="Times New Roman" w:hAnsi="Times New Roman" w:eastAsia="仿宋_GB2312" w:cs="仿宋"/>
          <w:bCs/>
          <w:sz w:val="32"/>
          <w:szCs w:val="32"/>
          <w:highlight w:val="none"/>
          <w:lang w:val="en-US" w:eastAsia="zh-CN"/>
        </w:rPr>
        <w:t>（二）</w:t>
      </w:r>
      <w:r>
        <w:rPr>
          <w:rFonts w:hint="default" w:ascii="Times New Roman" w:hAnsi="Times New Roman" w:eastAsia="仿宋_GB2312" w:cs="仿宋"/>
          <w:b w:val="0"/>
          <w:bCs/>
          <w:kern w:val="2"/>
          <w:sz w:val="32"/>
          <w:szCs w:val="32"/>
          <w:highlight w:val="none"/>
          <w:lang w:val="en-US" w:eastAsia="zh-CN"/>
        </w:rPr>
        <w:t>投标人总部</w:t>
      </w:r>
      <w:r>
        <w:rPr>
          <w:rFonts w:hint="eastAsia" w:ascii="Times New Roman" w:hAnsi="Times New Roman" w:eastAsia="仿宋_GB2312" w:cs="仿宋"/>
          <w:b w:val="0"/>
          <w:bCs/>
          <w:kern w:val="2"/>
          <w:sz w:val="32"/>
          <w:szCs w:val="32"/>
          <w:highlight w:val="none"/>
          <w:lang w:val="en-US" w:eastAsia="zh-CN"/>
        </w:rPr>
        <w:t>或分支机构</w:t>
      </w:r>
      <w:r>
        <w:rPr>
          <w:rFonts w:hint="default" w:ascii="Times New Roman" w:hAnsi="Times New Roman" w:eastAsia="仿宋_GB2312" w:cs="仿宋"/>
          <w:b w:val="0"/>
          <w:bCs/>
          <w:kern w:val="2"/>
          <w:sz w:val="32"/>
          <w:szCs w:val="32"/>
          <w:highlight w:val="none"/>
          <w:lang w:val="en-US" w:eastAsia="zh-CN"/>
        </w:rPr>
        <w:t>设立具备公众体检服务接待能力</w:t>
      </w:r>
      <w:r>
        <w:rPr>
          <w:rFonts w:hint="eastAsia" w:ascii="Times New Roman" w:hAnsi="Times New Roman" w:eastAsia="仿宋_GB2312" w:cs="仿宋"/>
          <w:b w:val="0"/>
          <w:bCs/>
          <w:kern w:val="2"/>
          <w:sz w:val="32"/>
          <w:szCs w:val="32"/>
          <w:highlight w:val="none"/>
          <w:lang w:val="en-US" w:eastAsia="zh-CN"/>
        </w:rPr>
        <w:t>。</w:t>
      </w:r>
    </w:p>
    <w:p w14:paraId="7B204FF6">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default" w:ascii="Times New Roman" w:hAnsi="Times New Roman" w:eastAsia="仿宋_GB2312" w:cs="仿宋"/>
          <w:bCs/>
          <w:sz w:val="32"/>
          <w:szCs w:val="32"/>
          <w:highlight w:val="none"/>
          <w:lang w:val="en-US" w:eastAsia="zh-CN"/>
        </w:rPr>
        <w:t>（三）投标人具有完全响应本项目服务提供需求的能力，能独立承担本招标文件所示民事等法律责任和合同义务。</w:t>
      </w:r>
    </w:p>
    <w:p w14:paraId="505EDD45">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default" w:ascii="Times New Roman" w:hAnsi="Times New Roman" w:eastAsia="仿宋_GB2312" w:cs="仿宋"/>
          <w:bCs/>
          <w:sz w:val="32"/>
          <w:szCs w:val="32"/>
          <w:highlight w:val="none"/>
          <w:lang w:val="en-US" w:eastAsia="zh-CN"/>
        </w:rPr>
        <w:t>（四）</w:t>
      </w:r>
      <w:r>
        <w:rPr>
          <w:rFonts w:hint="eastAsia" w:ascii="Times New Roman" w:hAnsi="Times New Roman" w:eastAsia="仿宋_GB2312" w:cs="仿宋"/>
          <w:bCs/>
          <w:sz w:val="32"/>
          <w:szCs w:val="32"/>
          <w:highlight w:val="none"/>
          <w:lang w:val="en-US" w:eastAsia="zh-CN"/>
        </w:rPr>
        <w:t>投标人无在“信用中国”网站（www.creditchina.gov.cn）、中国政府采购网（www.ccgp.gov.cn）、</w:t>
      </w:r>
      <w:r>
        <w:rPr>
          <w:rFonts w:hint="eastAsia" w:ascii="Times New Roman" w:hAnsi="Times New Roman" w:eastAsia="仿宋_GB2312" w:cs="仿宋"/>
          <w:bCs/>
          <w:sz w:val="32"/>
          <w:szCs w:val="32"/>
          <w:highlight w:val="none"/>
          <w:lang w:val="en-US" w:eastAsia="zh-CN"/>
        </w:rPr>
        <w:fldChar w:fldCharType="begin"/>
      </w:r>
      <w:r>
        <w:rPr>
          <w:rFonts w:hint="eastAsia" w:ascii="Times New Roman" w:hAnsi="Times New Roman" w:eastAsia="仿宋_GB2312" w:cs="仿宋"/>
          <w:bCs/>
          <w:sz w:val="32"/>
          <w:szCs w:val="32"/>
          <w:highlight w:val="none"/>
          <w:lang w:val="en-US" w:eastAsia="zh-CN"/>
        </w:rPr>
        <w:instrText xml:space="preserve"> HYPERLINK "https://wenshu.court.gov.cn/" </w:instrText>
      </w:r>
      <w:r>
        <w:rPr>
          <w:rFonts w:hint="eastAsia" w:ascii="Times New Roman" w:hAnsi="Times New Roman" w:eastAsia="仿宋_GB2312" w:cs="仿宋"/>
          <w:bCs/>
          <w:sz w:val="32"/>
          <w:szCs w:val="32"/>
          <w:highlight w:val="none"/>
          <w:lang w:val="en-US" w:eastAsia="zh-CN"/>
        </w:rPr>
        <w:fldChar w:fldCharType="separate"/>
      </w:r>
      <w:r>
        <w:rPr>
          <w:rFonts w:hint="eastAsia" w:ascii="Times New Roman" w:hAnsi="Times New Roman" w:eastAsia="仿宋_GB2312" w:cs="仿宋"/>
          <w:bCs/>
          <w:sz w:val="32"/>
          <w:szCs w:val="32"/>
          <w:highlight w:val="none"/>
          <w:lang w:val="en-US" w:eastAsia="zh-CN"/>
        </w:rPr>
        <w:t>中国裁判文书网（wenshu.court.gov.cn）</w:t>
      </w:r>
      <w:r>
        <w:rPr>
          <w:rFonts w:hint="eastAsia" w:ascii="Times New Roman" w:hAnsi="Times New Roman" w:eastAsia="仿宋_GB2312" w:cs="仿宋"/>
          <w:bCs/>
          <w:sz w:val="32"/>
          <w:szCs w:val="32"/>
          <w:highlight w:val="none"/>
          <w:lang w:val="en-US" w:eastAsia="zh-CN"/>
        </w:rPr>
        <w:fldChar w:fldCharType="end"/>
      </w:r>
      <w:r>
        <w:rPr>
          <w:rFonts w:hint="eastAsia" w:ascii="Times New Roman" w:hAnsi="Times New Roman" w:eastAsia="仿宋_GB2312" w:cs="仿宋"/>
          <w:bCs/>
          <w:sz w:val="32"/>
          <w:szCs w:val="32"/>
          <w:highlight w:val="none"/>
          <w:lang w:val="en-US" w:eastAsia="zh-CN"/>
        </w:rPr>
        <w:t>等渠道列入失信被执行人、重大税收违法案件当事人名单、政府采购严重违法失信行为记录名单、网络行贿行为记录的情况。</w:t>
      </w:r>
    </w:p>
    <w:p w14:paraId="78714CF1">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default" w:ascii="Times New Roman" w:hAnsi="Times New Roman" w:eastAsia="仿宋_GB2312" w:cs="仿宋"/>
          <w:bCs/>
          <w:sz w:val="32"/>
          <w:szCs w:val="32"/>
          <w:highlight w:val="none"/>
          <w:lang w:val="en-US" w:eastAsia="zh-CN"/>
        </w:rPr>
        <w:t>（五）</w:t>
      </w:r>
      <w:r>
        <w:rPr>
          <w:rFonts w:hint="eastAsia" w:ascii="Times New Roman" w:hAnsi="Times New Roman" w:eastAsia="仿宋_GB2312" w:cs="仿宋"/>
          <w:bCs/>
          <w:sz w:val="32"/>
          <w:szCs w:val="32"/>
          <w:highlight w:val="none"/>
          <w:lang w:val="en-US" w:eastAsia="zh-CN"/>
        </w:rPr>
        <w:t>投标人如为与招标人既往合作的供应商，需满足招标人关于供应商的管理规定，且2022年1月1日至本项目确定成交人之日前投标人无重大事故、服务投诉或质量不符合记录。</w:t>
      </w:r>
    </w:p>
    <w:p w14:paraId="0B1DFB77">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default" w:ascii="Times New Roman" w:hAnsi="Times New Roman" w:eastAsia="仿宋_GB2312" w:cs="仿宋"/>
          <w:bCs/>
          <w:sz w:val="32"/>
          <w:szCs w:val="32"/>
          <w:highlight w:val="none"/>
          <w:lang w:val="en-US" w:eastAsia="zh-CN"/>
        </w:rPr>
        <w:t>（六）</w:t>
      </w:r>
      <w:r>
        <w:rPr>
          <w:rFonts w:hint="eastAsia" w:ascii="Times New Roman" w:hAnsi="Times New Roman" w:eastAsia="仿宋_GB2312" w:cs="仿宋"/>
          <w:bCs/>
          <w:sz w:val="32"/>
          <w:szCs w:val="32"/>
          <w:highlight w:val="none"/>
          <w:lang w:val="en-US" w:eastAsia="zh-CN"/>
        </w:rPr>
        <w:t>投标人能够开具符合国家法律法规规定、符合国有企业财务管理及审计合规要求的增值税发票，如所提供的产品或服务税率不同，须按照相应税率分别开具发票。</w:t>
      </w:r>
    </w:p>
    <w:p w14:paraId="62C5E907">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default" w:ascii="Times New Roman" w:hAnsi="Times New Roman" w:eastAsia="仿宋_GB2312" w:cs="仿宋"/>
          <w:bCs/>
          <w:sz w:val="32"/>
          <w:szCs w:val="32"/>
          <w:highlight w:val="none"/>
          <w:lang w:val="en-US" w:eastAsia="zh-CN"/>
        </w:rPr>
        <w:t>本项目不接受联合体竞标或分标段投标。投标人应如实提供资质信息及随附证明文件，不得弄虚作假，提供虚假资质信息或虚假的随附证明文件一经查实，取消本项目投标资格，同时三年内不得参加招标人其他项目招标或采购。</w:t>
      </w:r>
    </w:p>
    <w:p w14:paraId="6A87C458">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具体内容</w:t>
      </w:r>
    </w:p>
    <w:p w14:paraId="41F1DC4D">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仿宋"/>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见《深圳市鹏劳人力资源管理有限公司2025年度员工健康体检项目（二次）招标文件》（附件2）</w:t>
      </w:r>
    </w:p>
    <w:p w14:paraId="6B5D635F">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仿宋"/>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有意参与投标的供方请于2025年8月28日17时前向招标人列示联系邮箱（huangxj@plhr.cn）提供资质文件扫描件，填报公告附件1《报名表》，加盖公章并随附资格文件电子版。（本文件所有报名资料格式：扫描件，PDF格式加盖公章）</w:t>
      </w:r>
    </w:p>
    <w:p w14:paraId="359031AF">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3" w:firstLineChars="200"/>
        <w:jc w:val="both"/>
        <w:textAlignment w:val="auto"/>
        <w:rPr>
          <w:rFonts w:hint="eastAsia" w:ascii="Times New Roman" w:hAnsi="Times New Roman" w:eastAsia="仿宋_GB2312" w:cs="仿宋"/>
          <w:bCs/>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参与本阶段投标的供方可将项目一阶段招标的投标文件作为参与本阶段公开招标的投标文件。</w:t>
      </w:r>
    </w:p>
    <w:p w14:paraId="5A63C46C">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答疑、澄清与补正</w:t>
      </w:r>
    </w:p>
    <w:p w14:paraId="041AF00D">
      <w:pPr>
        <w:keepNext w:val="0"/>
        <w:keepLines w:val="0"/>
        <w:pageBreakBefore w:val="0"/>
        <w:widowControl w:val="0"/>
        <w:kinsoku/>
        <w:wordWrap w:val="0"/>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拟参与本项目的投标人在获得招标文件后，应及时阅知招标文件，于2025年8月25日17时前就需要招标人答疑、澄清或确认的事项提出答疑澄清请求发送至招标人联系邮箱，逾期不予受理。</w:t>
      </w:r>
    </w:p>
    <w:p w14:paraId="0356FC5E">
      <w:pPr>
        <w:keepNext w:val="0"/>
        <w:keepLines w:val="0"/>
        <w:pageBreakBefore w:val="0"/>
        <w:widowControl w:val="0"/>
        <w:kinsoku/>
        <w:wordWrap w:val="0"/>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招标人将在收到答疑澄清后，统一于2025年8月26日17时以电子邮件形式根据各投标人提出的答疑澄清请求及招标人认为应当补遗说明的情况进行统一答复说明，答复说明按规不披露疑问来源。</w:t>
      </w:r>
    </w:p>
    <w:p w14:paraId="23CC338D">
      <w:pPr>
        <w:keepNext w:val="0"/>
        <w:keepLines w:val="0"/>
        <w:pageBreakBefore w:val="0"/>
        <w:widowControl w:val="0"/>
        <w:kinsoku/>
        <w:wordWrap w:val="0"/>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本项目不接受任何电话、现场或口头答疑澄清，不设置现场踏勘，任何非本文件规定的沟通途径与方式获取的信息不构成招标人对本项目的解释与义务。</w:t>
      </w:r>
    </w:p>
    <w:p w14:paraId="7C0A6F43">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投标截止时间</w:t>
      </w:r>
    </w:p>
    <w:p w14:paraId="53E80E24">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2025年9月1日9时30分</w:t>
      </w:r>
    </w:p>
    <w:p w14:paraId="50A0F15C">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开标时间</w:t>
      </w:r>
    </w:p>
    <w:p w14:paraId="7F6D812D">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仿宋"/>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2025年9月1日9时30分</w:t>
      </w:r>
    </w:p>
    <w:p w14:paraId="34C7C262">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投标文件递交及开标地点</w:t>
      </w:r>
    </w:p>
    <w:p w14:paraId="25915A7B">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仿宋"/>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深圳市罗湖区笋岗街道田心社区红岭北路2088号招商开元中心A座13层</w:t>
      </w:r>
    </w:p>
    <w:p w14:paraId="04F41DA3">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联系方式</w:t>
      </w:r>
    </w:p>
    <w:p w14:paraId="3CCDB065">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仿宋"/>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联系人： 黄工（仅限本次项目联系）</w:t>
      </w:r>
    </w:p>
    <w:p w14:paraId="0CB8CCD5">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仿宋"/>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 xml:space="preserve">联系电话：0755-25023046 </w:t>
      </w:r>
    </w:p>
    <w:p w14:paraId="618ABDC4">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仿宋"/>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电子邮箱：huangxj@plhr.cn</w:t>
      </w:r>
    </w:p>
    <w:p w14:paraId="753469D7">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left"/>
        <w:textAlignment w:val="auto"/>
        <w:rPr>
          <w:rFonts w:hint="eastAsia" w:ascii="仿宋" w:hAnsi="仿宋" w:eastAsia="仿宋" w:cs="仿宋"/>
          <w:bCs/>
          <w:sz w:val="32"/>
          <w:szCs w:val="32"/>
          <w:highlight w:val="none"/>
          <w:lang w:val="en-US" w:eastAsia="zh-CN"/>
        </w:rPr>
      </w:pPr>
    </w:p>
    <w:p w14:paraId="4AB2E05C">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jc w:val="right"/>
        <w:textAlignment w:val="auto"/>
        <w:rPr>
          <w:rFonts w:hint="eastAsia" w:ascii="Times New Roman" w:hAnsi="Times New Roman" w:eastAsia="仿宋_GB2312" w:cs="仿宋"/>
          <w:bCs/>
          <w:sz w:val="32"/>
          <w:szCs w:val="32"/>
          <w:highlight w:val="none"/>
          <w:lang w:val="en-US" w:eastAsia="zh-CN"/>
        </w:rPr>
      </w:pPr>
      <w:r>
        <w:rPr>
          <w:rFonts w:hint="eastAsia" w:ascii="仿宋" w:hAnsi="仿宋" w:eastAsia="仿宋" w:cs="仿宋"/>
          <w:bCs/>
          <w:sz w:val="32"/>
          <w:szCs w:val="32"/>
          <w:highlight w:val="none"/>
          <w:lang w:val="en-US" w:eastAsia="zh-CN"/>
        </w:rPr>
        <w:t xml:space="preserve">                 </w:t>
      </w:r>
      <w:r>
        <w:rPr>
          <w:rFonts w:hint="eastAsia" w:ascii="Times New Roman" w:hAnsi="Times New Roman" w:eastAsia="仿宋_GB2312" w:cs="仿宋"/>
          <w:bCs/>
          <w:sz w:val="32"/>
          <w:szCs w:val="32"/>
          <w:highlight w:val="none"/>
          <w:lang w:val="en-US" w:eastAsia="zh-CN"/>
        </w:rPr>
        <w:t>深圳市鹏劳人力资源管理有限公司</w:t>
      </w:r>
    </w:p>
    <w:p w14:paraId="4D14B9E3">
      <w:pPr>
        <w:keepNext w:val="0"/>
        <w:keepLines w:val="0"/>
        <w:pageBreakBefore w:val="0"/>
        <w:widowControl w:val="0"/>
        <w:kinsoku/>
        <w:wordWrap w:val="0"/>
        <w:overflowPunct/>
        <w:topLinePunct/>
        <w:autoSpaceDE/>
        <w:autoSpaceDN/>
        <w:bidi w:val="0"/>
        <w:adjustRightInd/>
        <w:snapToGrid/>
        <w:spacing w:line="560" w:lineRule="exact"/>
        <w:ind w:leftChars="0"/>
        <w:jc w:val="right"/>
        <w:textAlignment w:val="auto"/>
        <w:rPr>
          <w:rFonts w:hint="eastAsia" w:ascii="Times New Roman" w:hAnsi="Times New Roman" w:eastAsia="仿宋_GB2312" w:cs="仿宋"/>
          <w:bCs/>
          <w:sz w:val="32"/>
          <w:szCs w:val="32"/>
          <w:highlight w:val="none"/>
          <w:lang w:val="en-US" w:eastAsia="zh-CN"/>
        </w:rPr>
      </w:pPr>
      <w:r>
        <w:rPr>
          <w:rFonts w:hint="eastAsia" w:ascii="Times New Roman" w:hAnsi="Times New Roman" w:eastAsia="仿宋_GB2312" w:cs="仿宋"/>
          <w:bCs/>
          <w:sz w:val="32"/>
          <w:szCs w:val="32"/>
          <w:highlight w:val="none"/>
          <w:lang w:val="en-US" w:eastAsia="zh-CN"/>
        </w:rPr>
        <w:t xml:space="preserve"> 2025年8月21日   </w:t>
      </w:r>
    </w:p>
    <w:p w14:paraId="628A7B6B">
      <w:pPr>
        <w:keepNext w:val="0"/>
        <w:keepLines w:val="0"/>
        <w:pageBreakBefore w:val="0"/>
        <w:widowControl w:val="0"/>
        <w:kinsoku/>
        <w:wordWrap w:val="0"/>
        <w:overflowPunct/>
        <w:topLinePunct/>
        <w:autoSpaceDE/>
        <w:autoSpaceDN/>
        <w:bidi w:val="0"/>
        <w:adjustRightInd/>
        <w:snapToGrid/>
        <w:spacing w:line="560" w:lineRule="exact"/>
        <w:ind w:leftChars="0"/>
        <w:jc w:val="right"/>
        <w:textAlignment w:val="auto"/>
        <w:rPr>
          <w:rFonts w:hint="eastAsia" w:ascii="Times New Roman" w:hAnsi="Times New Roman" w:eastAsia="仿宋_GB2312" w:cs="仿宋"/>
          <w:bCs/>
          <w:sz w:val="32"/>
          <w:szCs w:val="32"/>
          <w:highlight w:val="none"/>
          <w:lang w:val="en-US" w:eastAsia="zh-CN"/>
        </w:rPr>
      </w:pPr>
    </w:p>
    <w:p w14:paraId="1AA8275F">
      <w:pPr>
        <w:keepNext w:val="0"/>
        <w:keepLines w:val="0"/>
        <w:pageBreakBefore w:val="0"/>
        <w:widowControl w:val="0"/>
        <w:kinsoku/>
        <w:wordWrap w:val="0"/>
        <w:overflowPunct/>
        <w:topLinePunct/>
        <w:autoSpaceDE/>
        <w:autoSpaceDN/>
        <w:bidi w:val="0"/>
        <w:adjustRightInd/>
        <w:snapToGrid/>
        <w:spacing w:line="560" w:lineRule="exact"/>
        <w:ind w:leftChars="0"/>
        <w:jc w:val="right"/>
        <w:textAlignment w:val="auto"/>
        <w:rPr>
          <w:rFonts w:hint="eastAsia" w:ascii="Times New Roman" w:hAnsi="Times New Roman" w:eastAsia="仿宋_GB2312" w:cs="仿宋"/>
          <w:bCs/>
          <w:sz w:val="32"/>
          <w:szCs w:val="32"/>
          <w:highlight w:val="none"/>
          <w:lang w:val="en-US" w:eastAsia="zh-CN"/>
        </w:rPr>
      </w:pPr>
    </w:p>
    <w:p w14:paraId="581474F8">
      <w:pPr>
        <w:keepNext w:val="0"/>
        <w:keepLines w:val="0"/>
        <w:pageBreakBefore w:val="0"/>
        <w:widowControl w:val="0"/>
        <w:kinsoku/>
        <w:wordWrap w:val="0"/>
        <w:overflowPunct/>
        <w:topLinePunct/>
        <w:autoSpaceDE/>
        <w:autoSpaceDN/>
        <w:bidi w:val="0"/>
        <w:adjustRightInd/>
        <w:snapToGrid/>
        <w:spacing w:line="560" w:lineRule="exact"/>
        <w:ind w:leftChars="0"/>
        <w:jc w:val="right"/>
        <w:textAlignment w:val="auto"/>
        <w:rPr>
          <w:rFonts w:hint="eastAsia" w:ascii="Times New Roman" w:hAnsi="Times New Roman" w:eastAsia="仿宋_GB2312" w:cs="仿宋"/>
          <w:bCs/>
          <w:sz w:val="32"/>
          <w:szCs w:val="32"/>
          <w:highlight w:val="none"/>
          <w:lang w:val="en-US" w:eastAsia="zh-CN"/>
        </w:rPr>
      </w:pPr>
    </w:p>
    <w:p w14:paraId="437506F1">
      <w:pPr>
        <w:keepNext w:val="0"/>
        <w:keepLines w:val="0"/>
        <w:pageBreakBefore w:val="0"/>
        <w:widowControl w:val="0"/>
        <w:kinsoku/>
        <w:wordWrap w:val="0"/>
        <w:overflowPunct/>
        <w:topLinePunct/>
        <w:autoSpaceDE/>
        <w:autoSpaceDN/>
        <w:bidi w:val="0"/>
        <w:adjustRightInd/>
        <w:snapToGrid/>
        <w:spacing w:line="560" w:lineRule="exact"/>
        <w:ind w:leftChars="0"/>
        <w:jc w:val="right"/>
        <w:textAlignment w:val="auto"/>
        <w:rPr>
          <w:rFonts w:hint="eastAsia" w:ascii="Times New Roman" w:hAnsi="Times New Roman" w:eastAsia="仿宋_GB2312" w:cs="仿宋"/>
          <w:bCs/>
          <w:sz w:val="32"/>
          <w:szCs w:val="32"/>
          <w:highlight w:val="none"/>
          <w:lang w:val="en-US" w:eastAsia="zh-CN"/>
        </w:rPr>
      </w:pPr>
    </w:p>
    <w:p w14:paraId="78BA8562">
      <w:pPr>
        <w:keepNext w:val="0"/>
        <w:keepLines w:val="0"/>
        <w:pageBreakBefore w:val="0"/>
        <w:widowControl w:val="0"/>
        <w:kinsoku/>
        <w:wordWrap w:val="0"/>
        <w:overflowPunct/>
        <w:topLinePunct/>
        <w:autoSpaceDE/>
        <w:autoSpaceDN/>
        <w:bidi w:val="0"/>
        <w:adjustRightInd/>
        <w:snapToGrid/>
        <w:spacing w:line="560" w:lineRule="exact"/>
        <w:ind w:leftChars="0"/>
        <w:jc w:val="right"/>
        <w:textAlignment w:val="auto"/>
        <w:rPr>
          <w:rFonts w:hint="eastAsia" w:ascii="Times New Roman" w:hAnsi="Times New Roman" w:eastAsia="仿宋_GB2312" w:cs="仿宋"/>
          <w:bCs/>
          <w:sz w:val="32"/>
          <w:szCs w:val="32"/>
          <w:highlight w:val="none"/>
          <w:lang w:val="en-US" w:eastAsia="zh-CN"/>
        </w:rPr>
      </w:pPr>
    </w:p>
    <w:p w14:paraId="46729955">
      <w:pPr>
        <w:keepNext w:val="0"/>
        <w:keepLines w:val="0"/>
        <w:pageBreakBefore w:val="0"/>
        <w:widowControl w:val="0"/>
        <w:kinsoku/>
        <w:wordWrap w:val="0"/>
        <w:overflowPunct/>
        <w:topLinePunct/>
        <w:autoSpaceDE/>
        <w:autoSpaceDN/>
        <w:bidi w:val="0"/>
        <w:adjustRightInd/>
        <w:snapToGrid/>
        <w:spacing w:line="560" w:lineRule="exact"/>
        <w:ind w:leftChars="0"/>
        <w:jc w:val="right"/>
        <w:textAlignment w:val="auto"/>
        <w:rPr>
          <w:rFonts w:hint="eastAsia" w:ascii="Times New Roman" w:hAnsi="Times New Roman" w:eastAsia="仿宋_GB2312" w:cs="仿宋"/>
          <w:bCs/>
          <w:sz w:val="32"/>
          <w:szCs w:val="32"/>
          <w:highlight w:val="none"/>
          <w:lang w:val="en-US" w:eastAsia="zh-CN"/>
        </w:rPr>
      </w:pPr>
    </w:p>
    <w:p w14:paraId="179E58E4">
      <w:pPr>
        <w:keepNext w:val="0"/>
        <w:keepLines w:val="0"/>
        <w:pageBreakBefore w:val="0"/>
        <w:widowControl w:val="0"/>
        <w:kinsoku/>
        <w:wordWrap w:val="0"/>
        <w:overflowPunct/>
        <w:topLinePunct/>
        <w:autoSpaceDE/>
        <w:autoSpaceDN/>
        <w:bidi w:val="0"/>
        <w:adjustRightInd/>
        <w:snapToGrid/>
        <w:spacing w:line="560" w:lineRule="exact"/>
        <w:ind w:leftChars="0"/>
        <w:jc w:val="both"/>
        <w:textAlignment w:val="auto"/>
        <w:rPr>
          <w:rFonts w:hint="default"/>
          <w:b/>
          <w:bCs w:val="0"/>
          <w:highlight w:val="none"/>
          <w:lang w:val="en-US"/>
        </w:rPr>
      </w:pPr>
      <w:r>
        <w:rPr>
          <w:rFonts w:hint="eastAsia" w:ascii="仿宋" w:hAnsi="仿宋" w:eastAsia="仿宋" w:cs="仿宋"/>
          <w:bCs/>
          <w:sz w:val="32"/>
          <w:szCs w:val="32"/>
          <w:highlight w:val="none"/>
          <w:lang w:val="en-US" w:eastAsia="zh-CN"/>
        </w:rPr>
        <w:t xml:space="preserve">  </w:t>
      </w:r>
    </w:p>
    <w:p w14:paraId="42A317DB">
      <w:pPr>
        <w:rPr>
          <w:rFonts w:hint="eastAsia"/>
          <w:b/>
          <w:bCs w:val="0"/>
          <w:highlight w:val="none"/>
        </w:rPr>
      </w:pPr>
    </w:p>
    <w:p w14:paraId="6760F94F">
      <w:pPr>
        <w:rPr>
          <w:rFonts w:hint="eastAsia" w:ascii="仿宋_GB2312" w:hAnsi="仿宋_GB2312" w:eastAsia="仿宋_GB2312" w:cs="仿宋_GB2312"/>
          <w:b w:val="0"/>
          <w:bCs/>
          <w:highlight w:val="none"/>
          <w:lang w:val="en-US" w:eastAsia="zh-CN"/>
        </w:rPr>
      </w:pPr>
      <w:r>
        <w:rPr>
          <w:rFonts w:hint="eastAsia" w:ascii="仿宋_GB2312" w:hAnsi="仿宋_GB2312" w:eastAsia="仿宋_GB2312" w:cs="仿宋_GB2312"/>
          <w:b w:val="0"/>
          <w:bCs/>
          <w:highlight w:val="none"/>
          <w:lang w:val="en-US" w:eastAsia="zh-CN"/>
        </w:rPr>
        <w:t>附件1：</w:t>
      </w:r>
    </w:p>
    <w:p w14:paraId="6780073F">
      <w:pPr>
        <w:pStyle w:val="3"/>
        <w:keepNext/>
        <w:keepLines/>
        <w:pageBreakBefore w:val="0"/>
        <w:widowControl/>
        <w:numPr>
          <w:ilvl w:val="1"/>
          <w:numId w:val="0"/>
        </w:numPr>
        <w:kinsoku/>
        <w:wordWrap/>
        <w:overflowPunct/>
        <w:topLinePunct w:val="0"/>
        <w:autoSpaceDE/>
        <w:autoSpaceDN/>
        <w:bidi w:val="0"/>
        <w:adjustRightInd w:val="0"/>
        <w:snapToGrid w:val="0"/>
        <w:spacing w:before="0" w:after="0" w:line="560" w:lineRule="exact"/>
        <w:jc w:val="center"/>
        <w:textAlignment w:val="auto"/>
        <w:rPr>
          <w:rFonts w:hint="eastAsia"/>
          <w:b w:val="0"/>
          <w:bCs/>
          <w:sz w:val="36"/>
          <w:szCs w:val="36"/>
          <w:highlight w:val="none"/>
        </w:rPr>
      </w:pPr>
      <w:bookmarkStart w:id="10" w:name="_Toc28606"/>
      <w:bookmarkStart w:id="11" w:name="_Toc17995"/>
      <w:bookmarkStart w:id="12" w:name="_Toc140285777"/>
      <w:bookmarkStart w:id="13" w:name="_Toc11570"/>
      <w:bookmarkStart w:id="14" w:name="_Toc28400"/>
      <w:r>
        <w:rPr>
          <w:rFonts w:hint="eastAsia"/>
          <w:b w:val="0"/>
          <w:bCs/>
          <w:sz w:val="36"/>
          <w:szCs w:val="36"/>
          <w:highlight w:val="none"/>
          <w:lang w:val="en-US" w:eastAsia="zh-CN"/>
        </w:rPr>
        <w:t>深圳市鹏劳人力资源管理有限公司采购招标</w:t>
      </w:r>
      <w:r>
        <w:rPr>
          <w:rFonts w:hint="eastAsia"/>
          <w:b w:val="0"/>
          <w:bCs/>
          <w:sz w:val="36"/>
          <w:szCs w:val="36"/>
          <w:highlight w:val="none"/>
        </w:rPr>
        <w:t>报名表</w:t>
      </w:r>
      <w:bookmarkEnd w:id="10"/>
      <w:bookmarkEnd w:id="11"/>
      <w:bookmarkEnd w:id="12"/>
      <w:bookmarkEnd w:id="13"/>
      <w:bookmarkEnd w:id="14"/>
    </w:p>
    <w:tbl>
      <w:tblPr>
        <w:tblStyle w:val="15"/>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41"/>
        <w:gridCol w:w="1961"/>
        <w:gridCol w:w="1631"/>
        <w:gridCol w:w="904"/>
        <w:gridCol w:w="727"/>
        <w:gridCol w:w="1996"/>
      </w:tblGrid>
      <w:tr w14:paraId="3EF1E9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16" w:type="pct"/>
            <w:tcBorders>
              <w:tl2br w:val="nil"/>
              <w:tr2bl w:val="nil"/>
            </w:tcBorders>
            <w:noWrap w:val="0"/>
            <w:vAlign w:val="center"/>
          </w:tcPr>
          <w:p w14:paraId="37B384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项目名称</w:t>
            </w:r>
          </w:p>
        </w:tc>
        <w:tc>
          <w:tcPr>
            <w:tcW w:w="3983" w:type="pct"/>
            <w:gridSpan w:val="5"/>
            <w:tcBorders>
              <w:tl2br w:val="nil"/>
              <w:tr2bl w:val="nil"/>
            </w:tcBorders>
            <w:noWrap w:val="0"/>
            <w:vAlign w:val="center"/>
          </w:tcPr>
          <w:p w14:paraId="7232C2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4"/>
                <w:szCs w:val="24"/>
                <w:highlight w:val="none"/>
                <w:lang w:val="en-US" w:eastAsia="zh-CN"/>
              </w:rPr>
            </w:pPr>
            <w:r>
              <w:rPr>
                <w:rFonts w:hint="eastAsia" w:ascii="Times New Roman" w:hAnsi="Times New Roman" w:eastAsia="宋体" w:cs="仿宋"/>
                <w:b w:val="0"/>
                <w:bCs/>
                <w:sz w:val="24"/>
                <w:szCs w:val="24"/>
                <w:highlight w:val="none"/>
                <w:lang w:val="en-US" w:eastAsia="zh-CN"/>
              </w:rPr>
              <w:t>深圳市鹏劳人力资源管理有限公司</w:t>
            </w:r>
          </w:p>
          <w:p w14:paraId="7CF30B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仿宋"/>
                <w:b w:val="0"/>
                <w:bCs/>
                <w:sz w:val="21"/>
                <w:szCs w:val="21"/>
                <w:highlight w:val="none"/>
                <w:lang w:val="en-US" w:eastAsia="zh-CN"/>
              </w:rPr>
            </w:pPr>
            <w:r>
              <w:rPr>
                <w:rFonts w:hint="eastAsia" w:ascii="Times New Roman" w:hAnsi="Times New Roman" w:eastAsia="宋体" w:cs="仿宋"/>
                <w:b w:val="0"/>
                <w:bCs/>
                <w:sz w:val="24"/>
                <w:szCs w:val="24"/>
                <w:highlight w:val="none"/>
                <w:lang w:val="en-US" w:eastAsia="zh-CN"/>
              </w:rPr>
              <w:t>2025年度员工健康体检项目（二次）</w:t>
            </w:r>
          </w:p>
        </w:tc>
      </w:tr>
      <w:tr w14:paraId="28A7B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016" w:type="pct"/>
            <w:tcBorders>
              <w:tl2br w:val="nil"/>
              <w:tr2bl w:val="nil"/>
            </w:tcBorders>
            <w:noWrap w:val="0"/>
            <w:vAlign w:val="center"/>
          </w:tcPr>
          <w:p w14:paraId="72AF48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项目编号</w:t>
            </w:r>
          </w:p>
        </w:tc>
        <w:tc>
          <w:tcPr>
            <w:tcW w:w="1982" w:type="pct"/>
            <w:gridSpan w:val="2"/>
            <w:tcBorders>
              <w:tl2br w:val="nil"/>
              <w:tr2bl w:val="nil"/>
            </w:tcBorders>
            <w:noWrap w:val="0"/>
            <w:vAlign w:val="center"/>
          </w:tcPr>
          <w:p w14:paraId="20BBCB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仿宋"/>
                <w:b w:val="0"/>
                <w:bCs/>
                <w:sz w:val="21"/>
                <w:szCs w:val="21"/>
                <w:highlight w:val="none"/>
                <w:lang w:val="en-US" w:eastAsia="zh-CN"/>
              </w:rPr>
            </w:pPr>
            <w:r>
              <w:rPr>
                <w:rFonts w:hint="eastAsia" w:ascii="Times New Roman" w:hAnsi="Times New Roman" w:eastAsia="宋体" w:cs="仿宋"/>
                <w:b w:val="0"/>
                <w:bCs/>
                <w:sz w:val="24"/>
                <w:szCs w:val="24"/>
                <w:highlight w:val="none"/>
                <w:lang w:val="en-US" w:eastAsia="zh-CN"/>
              </w:rPr>
              <w:t>PLHR-ZB-FW-20250601</w:t>
            </w:r>
          </w:p>
        </w:tc>
        <w:tc>
          <w:tcPr>
            <w:tcW w:w="900" w:type="pct"/>
            <w:gridSpan w:val="2"/>
            <w:tcBorders>
              <w:tl2br w:val="nil"/>
              <w:tr2bl w:val="nil"/>
            </w:tcBorders>
            <w:noWrap w:val="0"/>
            <w:vAlign w:val="center"/>
          </w:tcPr>
          <w:p w14:paraId="74BBD2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所投包号</w:t>
            </w:r>
          </w:p>
        </w:tc>
        <w:tc>
          <w:tcPr>
            <w:tcW w:w="1100" w:type="pct"/>
            <w:tcBorders>
              <w:tl2br w:val="nil"/>
              <w:tr2bl w:val="nil"/>
            </w:tcBorders>
            <w:noWrap w:val="0"/>
            <w:vAlign w:val="center"/>
          </w:tcPr>
          <w:p w14:paraId="24FEFF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lang w:val="en-US" w:eastAsia="zh-CN"/>
              </w:rPr>
            </w:pPr>
            <w:r>
              <w:rPr>
                <w:rFonts w:hint="eastAsia" w:ascii="Times New Roman" w:hAnsi="Times New Roman" w:eastAsia="宋体" w:cs="仿宋"/>
                <w:b w:val="0"/>
                <w:bCs/>
                <w:sz w:val="21"/>
                <w:szCs w:val="21"/>
                <w:highlight w:val="none"/>
                <w:lang w:val="en-US" w:eastAsia="zh-CN"/>
              </w:rPr>
              <w:t>/</w:t>
            </w:r>
          </w:p>
        </w:tc>
      </w:tr>
      <w:tr w14:paraId="149F74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016" w:type="pct"/>
            <w:tcBorders>
              <w:tl2br w:val="nil"/>
              <w:tr2bl w:val="nil"/>
            </w:tcBorders>
            <w:noWrap w:val="0"/>
            <w:vAlign w:val="center"/>
          </w:tcPr>
          <w:p w14:paraId="35F301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lang w:val="en-US" w:eastAsia="zh-CN"/>
              </w:rPr>
              <w:t>投标人</w:t>
            </w:r>
            <w:r>
              <w:rPr>
                <w:rFonts w:hint="eastAsia" w:ascii="Times New Roman" w:hAnsi="Times New Roman" w:eastAsia="宋体" w:cs="仿宋"/>
                <w:b w:val="0"/>
                <w:bCs/>
                <w:sz w:val="21"/>
                <w:szCs w:val="21"/>
                <w:highlight w:val="none"/>
              </w:rPr>
              <w:t>全称</w:t>
            </w:r>
          </w:p>
          <w:p w14:paraId="306298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lang w:eastAsia="zh-CN"/>
              </w:rPr>
            </w:pPr>
            <w:r>
              <w:rPr>
                <w:rFonts w:hint="eastAsia" w:ascii="Times New Roman" w:hAnsi="Times New Roman" w:eastAsia="宋体" w:cs="仿宋"/>
                <w:b w:val="0"/>
                <w:bCs/>
                <w:sz w:val="21"/>
                <w:szCs w:val="21"/>
                <w:highlight w:val="none"/>
                <w:lang w:eastAsia="zh-CN"/>
              </w:rPr>
              <w:t>（</w:t>
            </w:r>
            <w:r>
              <w:rPr>
                <w:rFonts w:hint="eastAsia" w:ascii="Times New Roman" w:hAnsi="Times New Roman" w:eastAsia="宋体" w:cs="仿宋"/>
                <w:b w:val="0"/>
                <w:bCs/>
                <w:sz w:val="21"/>
                <w:szCs w:val="21"/>
                <w:highlight w:val="none"/>
                <w:lang w:val="en-US" w:eastAsia="zh-CN"/>
              </w:rPr>
              <w:t>加盖公章</w:t>
            </w:r>
            <w:r>
              <w:rPr>
                <w:rFonts w:hint="eastAsia" w:ascii="Times New Roman" w:hAnsi="Times New Roman" w:eastAsia="宋体" w:cs="仿宋"/>
                <w:b w:val="0"/>
                <w:bCs/>
                <w:sz w:val="21"/>
                <w:szCs w:val="21"/>
                <w:highlight w:val="none"/>
                <w:lang w:eastAsia="zh-CN"/>
              </w:rPr>
              <w:t>）</w:t>
            </w:r>
          </w:p>
        </w:tc>
        <w:tc>
          <w:tcPr>
            <w:tcW w:w="3983" w:type="pct"/>
            <w:gridSpan w:val="5"/>
            <w:tcBorders>
              <w:tl2br w:val="nil"/>
              <w:tr2bl w:val="nil"/>
            </w:tcBorders>
            <w:noWrap w:val="0"/>
            <w:vAlign w:val="center"/>
          </w:tcPr>
          <w:p w14:paraId="50E2FB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仿宋"/>
                <w:b w:val="0"/>
                <w:bCs/>
                <w:sz w:val="21"/>
                <w:szCs w:val="21"/>
                <w:highlight w:val="none"/>
              </w:rPr>
            </w:pPr>
          </w:p>
        </w:tc>
      </w:tr>
      <w:tr w14:paraId="0C5D50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16" w:type="pct"/>
            <w:tcBorders>
              <w:tl2br w:val="nil"/>
              <w:tr2bl w:val="nil"/>
            </w:tcBorders>
            <w:noWrap w:val="0"/>
            <w:vAlign w:val="center"/>
          </w:tcPr>
          <w:p w14:paraId="7DD710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详细地址</w:t>
            </w:r>
          </w:p>
        </w:tc>
        <w:tc>
          <w:tcPr>
            <w:tcW w:w="1982" w:type="pct"/>
            <w:gridSpan w:val="2"/>
            <w:tcBorders>
              <w:tl2br w:val="nil"/>
              <w:tr2bl w:val="nil"/>
            </w:tcBorders>
            <w:noWrap w:val="0"/>
            <w:vAlign w:val="center"/>
          </w:tcPr>
          <w:p w14:paraId="3214A6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仿宋"/>
                <w:b w:val="0"/>
                <w:bCs/>
                <w:sz w:val="21"/>
                <w:szCs w:val="21"/>
                <w:highlight w:val="none"/>
              </w:rPr>
            </w:pPr>
          </w:p>
        </w:tc>
        <w:tc>
          <w:tcPr>
            <w:tcW w:w="900" w:type="pct"/>
            <w:gridSpan w:val="2"/>
            <w:tcBorders>
              <w:tl2br w:val="nil"/>
              <w:tr2bl w:val="nil"/>
            </w:tcBorders>
            <w:noWrap w:val="0"/>
            <w:vAlign w:val="center"/>
          </w:tcPr>
          <w:p w14:paraId="1A3C77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邮政编码</w:t>
            </w:r>
          </w:p>
        </w:tc>
        <w:tc>
          <w:tcPr>
            <w:tcW w:w="1100" w:type="pct"/>
            <w:tcBorders>
              <w:tl2br w:val="nil"/>
              <w:tr2bl w:val="nil"/>
            </w:tcBorders>
            <w:noWrap w:val="0"/>
            <w:vAlign w:val="center"/>
          </w:tcPr>
          <w:p w14:paraId="7AE1FD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仿宋"/>
                <w:b w:val="0"/>
                <w:bCs/>
                <w:sz w:val="21"/>
                <w:szCs w:val="21"/>
                <w:highlight w:val="none"/>
              </w:rPr>
            </w:pPr>
          </w:p>
        </w:tc>
      </w:tr>
      <w:tr w14:paraId="0B9316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16" w:type="pct"/>
            <w:tcBorders>
              <w:tl2br w:val="nil"/>
              <w:tr2bl w:val="nil"/>
            </w:tcBorders>
            <w:noWrap w:val="0"/>
            <w:vAlign w:val="center"/>
          </w:tcPr>
          <w:p w14:paraId="3ED0A5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法定代表人</w:t>
            </w:r>
          </w:p>
          <w:p w14:paraId="3007B1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（负责人）</w:t>
            </w:r>
          </w:p>
        </w:tc>
        <w:tc>
          <w:tcPr>
            <w:tcW w:w="1982" w:type="pct"/>
            <w:gridSpan w:val="2"/>
            <w:tcBorders>
              <w:tl2br w:val="nil"/>
              <w:tr2bl w:val="nil"/>
            </w:tcBorders>
            <w:noWrap w:val="0"/>
            <w:vAlign w:val="center"/>
          </w:tcPr>
          <w:p w14:paraId="5030D0E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宋体" w:cs="仿宋"/>
                <w:b w:val="0"/>
                <w:bCs/>
                <w:sz w:val="21"/>
                <w:szCs w:val="21"/>
                <w:highlight w:val="none"/>
              </w:rPr>
            </w:pPr>
          </w:p>
        </w:tc>
        <w:tc>
          <w:tcPr>
            <w:tcW w:w="900" w:type="pct"/>
            <w:gridSpan w:val="2"/>
            <w:tcBorders>
              <w:tl2br w:val="nil"/>
              <w:tr2bl w:val="nil"/>
            </w:tcBorders>
            <w:noWrap w:val="0"/>
            <w:vAlign w:val="center"/>
          </w:tcPr>
          <w:p w14:paraId="2A6C47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注册资金</w:t>
            </w:r>
          </w:p>
        </w:tc>
        <w:tc>
          <w:tcPr>
            <w:tcW w:w="1100" w:type="pct"/>
            <w:tcBorders>
              <w:tl2br w:val="nil"/>
              <w:tr2bl w:val="nil"/>
            </w:tcBorders>
            <w:noWrap w:val="0"/>
            <w:vAlign w:val="center"/>
          </w:tcPr>
          <w:p w14:paraId="04858C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仿宋"/>
                <w:b w:val="0"/>
                <w:bCs/>
                <w:sz w:val="21"/>
                <w:szCs w:val="21"/>
                <w:highlight w:val="none"/>
              </w:rPr>
            </w:pPr>
          </w:p>
        </w:tc>
      </w:tr>
      <w:tr w14:paraId="0A8249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016" w:type="pct"/>
            <w:tcBorders>
              <w:tl2br w:val="nil"/>
              <w:tr2bl w:val="nil"/>
            </w:tcBorders>
            <w:noWrap w:val="0"/>
            <w:vAlign w:val="center"/>
          </w:tcPr>
          <w:p w14:paraId="57BAB1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联系电话</w:t>
            </w:r>
          </w:p>
        </w:tc>
        <w:tc>
          <w:tcPr>
            <w:tcW w:w="1982" w:type="pct"/>
            <w:gridSpan w:val="2"/>
            <w:tcBorders>
              <w:tl2br w:val="nil"/>
              <w:tr2bl w:val="nil"/>
            </w:tcBorders>
            <w:noWrap w:val="0"/>
            <w:vAlign w:val="center"/>
          </w:tcPr>
          <w:p w14:paraId="6A04443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宋体" w:cs="仿宋"/>
                <w:b w:val="0"/>
                <w:bCs/>
                <w:sz w:val="21"/>
                <w:szCs w:val="21"/>
                <w:highlight w:val="none"/>
              </w:rPr>
            </w:pPr>
          </w:p>
        </w:tc>
        <w:tc>
          <w:tcPr>
            <w:tcW w:w="900" w:type="pct"/>
            <w:gridSpan w:val="2"/>
            <w:tcBorders>
              <w:tl2br w:val="nil"/>
              <w:tr2bl w:val="nil"/>
            </w:tcBorders>
            <w:noWrap w:val="0"/>
            <w:vAlign w:val="center"/>
          </w:tcPr>
          <w:p w14:paraId="001582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传真</w:t>
            </w:r>
          </w:p>
        </w:tc>
        <w:tc>
          <w:tcPr>
            <w:tcW w:w="1100" w:type="pct"/>
            <w:tcBorders>
              <w:tl2br w:val="nil"/>
              <w:tr2bl w:val="nil"/>
            </w:tcBorders>
            <w:noWrap w:val="0"/>
            <w:vAlign w:val="center"/>
          </w:tcPr>
          <w:p w14:paraId="3F9A288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仿宋"/>
                <w:b w:val="0"/>
                <w:bCs/>
                <w:sz w:val="21"/>
                <w:szCs w:val="21"/>
                <w:highlight w:val="none"/>
              </w:rPr>
            </w:pPr>
          </w:p>
        </w:tc>
      </w:tr>
      <w:tr w14:paraId="109B48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16" w:type="pct"/>
            <w:vMerge w:val="restart"/>
            <w:tcBorders>
              <w:tl2br w:val="nil"/>
              <w:tr2bl w:val="nil"/>
            </w:tcBorders>
            <w:noWrap w:val="0"/>
            <w:vAlign w:val="center"/>
          </w:tcPr>
          <w:p w14:paraId="69B7B6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lang w:eastAsia="zh-CN"/>
              </w:rPr>
            </w:pPr>
            <w:r>
              <w:rPr>
                <w:rFonts w:hint="eastAsia" w:ascii="Times New Roman" w:hAnsi="Times New Roman" w:eastAsia="宋体" w:cs="仿宋"/>
                <w:b w:val="0"/>
                <w:bCs/>
                <w:sz w:val="21"/>
                <w:szCs w:val="21"/>
                <w:highlight w:val="none"/>
              </w:rPr>
              <w:t>投标联系人</w:t>
            </w:r>
            <w:r>
              <w:rPr>
                <w:rFonts w:hint="eastAsia" w:ascii="Times New Roman" w:hAnsi="Times New Roman" w:eastAsia="宋体" w:cs="仿宋"/>
                <w:b w:val="0"/>
                <w:bCs/>
                <w:sz w:val="21"/>
                <w:szCs w:val="21"/>
                <w:highlight w:val="none"/>
                <w:lang w:val="en-US" w:eastAsia="zh-CN"/>
              </w:rPr>
              <w:t xml:space="preserve">   </w:t>
            </w:r>
            <w:r>
              <w:rPr>
                <w:rFonts w:hint="eastAsia" w:ascii="Times New Roman" w:hAnsi="Times New Roman" w:eastAsia="宋体" w:cs="仿宋"/>
                <w:b w:val="0"/>
                <w:bCs/>
                <w:sz w:val="21"/>
                <w:szCs w:val="21"/>
                <w:highlight w:val="none"/>
                <w:lang w:eastAsia="zh-CN"/>
              </w:rPr>
              <w:t>（</w:t>
            </w:r>
            <w:r>
              <w:rPr>
                <w:rFonts w:hint="eastAsia" w:ascii="Times New Roman" w:hAnsi="Times New Roman" w:eastAsia="宋体" w:cs="仿宋"/>
                <w:b w:val="0"/>
                <w:bCs/>
                <w:sz w:val="21"/>
                <w:szCs w:val="21"/>
                <w:highlight w:val="none"/>
                <w:lang w:val="en-US" w:eastAsia="zh-CN"/>
              </w:rPr>
              <w:t>谈判代表</w:t>
            </w:r>
            <w:r>
              <w:rPr>
                <w:rFonts w:hint="eastAsia" w:ascii="Times New Roman" w:hAnsi="Times New Roman" w:eastAsia="宋体" w:cs="仿宋"/>
                <w:b w:val="0"/>
                <w:bCs/>
                <w:sz w:val="21"/>
                <w:szCs w:val="21"/>
                <w:highlight w:val="none"/>
                <w:lang w:eastAsia="zh-CN"/>
              </w:rPr>
              <w:t>）</w:t>
            </w:r>
          </w:p>
        </w:tc>
        <w:tc>
          <w:tcPr>
            <w:tcW w:w="1082" w:type="pct"/>
            <w:tcBorders>
              <w:tl2br w:val="nil"/>
              <w:tr2bl w:val="nil"/>
            </w:tcBorders>
            <w:noWrap w:val="0"/>
            <w:vAlign w:val="center"/>
          </w:tcPr>
          <w:p w14:paraId="06FB88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姓名</w:t>
            </w:r>
          </w:p>
        </w:tc>
        <w:tc>
          <w:tcPr>
            <w:tcW w:w="1399" w:type="pct"/>
            <w:gridSpan w:val="2"/>
            <w:tcBorders>
              <w:tl2br w:val="nil"/>
              <w:tr2bl w:val="nil"/>
            </w:tcBorders>
            <w:noWrap w:val="0"/>
            <w:vAlign w:val="center"/>
          </w:tcPr>
          <w:p w14:paraId="55F3F8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电话号码（手机）</w:t>
            </w:r>
          </w:p>
        </w:tc>
        <w:tc>
          <w:tcPr>
            <w:tcW w:w="1500" w:type="pct"/>
            <w:gridSpan w:val="2"/>
            <w:tcBorders>
              <w:tl2br w:val="nil"/>
              <w:tr2bl w:val="nil"/>
            </w:tcBorders>
            <w:noWrap w:val="0"/>
            <w:vAlign w:val="center"/>
          </w:tcPr>
          <w:p w14:paraId="775D74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E-mail</w:t>
            </w:r>
          </w:p>
        </w:tc>
      </w:tr>
      <w:tr w14:paraId="51FFF5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16" w:type="pct"/>
            <w:vMerge w:val="continue"/>
            <w:tcBorders>
              <w:tl2br w:val="nil"/>
              <w:tr2bl w:val="nil"/>
            </w:tcBorders>
            <w:noWrap w:val="0"/>
            <w:vAlign w:val="center"/>
          </w:tcPr>
          <w:p w14:paraId="5A0BBE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p>
        </w:tc>
        <w:tc>
          <w:tcPr>
            <w:tcW w:w="1082" w:type="pct"/>
            <w:tcBorders>
              <w:tl2br w:val="nil"/>
              <w:tr2bl w:val="nil"/>
            </w:tcBorders>
            <w:noWrap w:val="0"/>
            <w:vAlign w:val="center"/>
          </w:tcPr>
          <w:p w14:paraId="6CEC2E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p>
        </w:tc>
        <w:tc>
          <w:tcPr>
            <w:tcW w:w="1399" w:type="pct"/>
            <w:gridSpan w:val="2"/>
            <w:tcBorders>
              <w:tl2br w:val="nil"/>
              <w:tr2bl w:val="nil"/>
            </w:tcBorders>
            <w:noWrap w:val="0"/>
            <w:vAlign w:val="center"/>
          </w:tcPr>
          <w:p w14:paraId="318D11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p>
        </w:tc>
        <w:tc>
          <w:tcPr>
            <w:tcW w:w="1500" w:type="pct"/>
            <w:gridSpan w:val="2"/>
            <w:tcBorders>
              <w:tl2br w:val="nil"/>
              <w:tr2bl w:val="nil"/>
            </w:tcBorders>
            <w:noWrap w:val="0"/>
            <w:vAlign w:val="center"/>
          </w:tcPr>
          <w:p w14:paraId="685D7B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p>
        </w:tc>
      </w:tr>
      <w:tr w14:paraId="68D674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1016" w:type="pct"/>
            <w:tcBorders>
              <w:tl2br w:val="nil"/>
              <w:tr2bl w:val="nil"/>
            </w:tcBorders>
            <w:noWrap w:val="0"/>
            <w:vAlign w:val="center"/>
          </w:tcPr>
          <w:p w14:paraId="333CE84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宋体" w:cs="仿宋"/>
                <w:b w:val="0"/>
                <w:bCs/>
                <w:sz w:val="21"/>
                <w:szCs w:val="21"/>
                <w:highlight w:val="none"/>
                <w:lang w:val="en-US" w:eastAsia="zh-CN"/>
              </w:rPr>
            </w:pPr>
            <w:r>
              <w:rPr>
                <w:rFonts w:hint="eastAsia" w:ascii="Times New Roman" w:hAnsi="Times New Roman" w:eastAsia="宋体" w:cs="仿宋"/>
                <w:b w:val="0"/>
                <w:bCs/>
                <w:sz w:val="21"/>
                <w:szCs w:val="21"/>
                <w:highlight w:val="none"/>
                <w:lang w:val="en-US" w:eastAsia="zh-CN"/>
              </w:rPr>
              <w:t>报名文件清单</w:t>
            </w:r>
          </w:p>
        </w:tc>
        <w:tc>
          <w:tcPr>
            <w:tcW w:w="3983" w:type="pct"/>
            <w:gridSpan w:val="5"/>
            <w:tcBorders>
              <w:tl2br w:val="nil"/>
              <w:tr2bl w:val="nil"/>
            </w:tcBorders>
            <w:noWrap w:val="0"/>
            <w:vAlign w:val="center"/>
          </w:tcPr>
          <w:p w14:paraId="27673E07">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Times New Roman" w:hAnsi="Times New Roman" w:eastAsia="宋体" w:cs="仿宋"/>
                <w:b w:val="0"/>
                <w:bCs/>
                <w:sz w:val="21"/>
                <w:szCs w:val="21"/>
                <w:highlight w:val="none"/>
                <w:lang w:val="en-US" w:eastAsia="zh-CN"/>
              </w:rPr>
            </w:pPr>
            <w:r>
              <w:rPr>
                <w:rFonts w:hint="eastAsia" w:ascii="Times New Roman" w:hAnsi="Times New Roman" w:eastAsia="宋体" w:cs="仿宋"/>
                <w:b w:val="0"/>
                <w:bCs/>
                <w:sz w:val="21"/>
                <w:szCs w:val="21"/>
                <w:highlight w:val="none"/>
                <w:lang w:val="en-US" w:eastAsia="zh-CN"/>
              </w:rPr>
              <w:t>《统一社会信用代码营业执照》副本或组织机构代码证</w:t>
            </w:r>
            <w:r>
              <w:rPr>
                <w:rFonts w:hint="eastAsia" w:ascii="Times New Roman" w:hAnsi="Times New Roman" w:eastAsia="宋体" w:cs="仿宋"/>
                <w:b w:val="0"/>
                <w:bCs/>
                <w:sz w:val="21"/>
                <w:szCs w:val="21"/>
                <w:highlight w:val="none"/>
                <w:lang w:val="en-US" w:eastAsia="zh-CN"/>
              </w:rPr>
              <w:sym w:font="Wingdings" w:char="00A8"/>
            </w:r>
          </w:p>
          <w:p w14:paraId="3DC096DF">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Times New Roman" w:hAnsi="Times New Roman" w:eastAsia="宋体" w:cs="仿宋"/>
                <w:b w:val="0"/>
                <w:bCs/>
                <w:sz w:val="21"/>
                <w:szCs w:val="21"/>
                <w:highlight w:val="none"/>
                <w:lang w:val="en-US" w:eastAsia="zh-CN"/>
              </w:rPr>
            </w:pPr>
            <w:r>
              <w:rPr>
                <w:rFonts w:hint="eastAsia" w:ascii="Times New Roman" w:hAnsi="Times New Roman" w:eastAsia="宋体" w:cs="仿宋"/>
                <w:b w:val="0"/>
                <w:bCs/>
                <w:sz w:val="21"/>
                <w:szCs w:val="21"/>
                <w:highlight w:val="none"/>
                <w:lang w:val="en-US" w:eastAsia="zh-CN"/>
              </w:rPr>
              <w:t>法定代表人身份证明书（格式自拟）</w:t>
            </w:r>
            <w:r>
              <w:rPr>
                <w:rFonts w:hint="eastAsia" w:ascii="Times New Roman" w:hAnsi="Times New Roman" w:eastAsia="宋体" w:cs="仿宋"/>
                <w:b w:val="0"/>
                <w:bCs/>
                <w:sz w:val="21"/>
                <w:szCs w:val="21"/>
                <w:highlight w:val="none"/>
                <w:lang w:val="en-US" w:eastAsia="zh-CN"/>
              </w:rPr>
              <w:sym w:font="Wingdings" w:char="00A8"/>
            </w:r>
          </w:p>
          <w:p w14:paraId="149C480E">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Times New Roman" w:hAnsi="Times New Roman" w:eastAsia="宋体" w:cs="仿宋"/>
                <w:b w:val="0"/>
                <w:bCs/>
                <w:sz w:val="21"/>
                <w:szCs w:val="21"/>
                <w:highlight w:val="none"/>
                <w:lang w:val="en-US" w:eastAsia="zh-CN"/>
              </w:rPr>
            </w:pPr>
            <w:r>
              <w:rPr>
                <w:rFonts w:hint="eastAsia" w:ascii="Times New Roman" w:hAnsi="Times New Roman" w:eastAsia="宋体" w:cs="仿宋"/>
                <w:b w:val="0"/>
                <w:bCs/>
                <w:sz w:val="21"/>
                <w:szCs w:val="21"/>
                <w:highlight w:val="none"/>
                <w:lang w:val="en-US" w:eastAsia="zh-CN"/>
              </w:rPr>
              <w:t>法定代表人授权委托书（格式自拟）</w:t>
            </w:r>
            <w:r>
              <w:rPr>
                <w:rFonts w:hint="eastAsia" w:ascii="Times New Roman" w:hAnsi="Times New Roman" w:eastAsia="宋体" w:cs="仿宋"/>
                <w:b w:val="0"/>
                <w:bCs/>
                <w:sz w:val="21"/>
                <w:szCs w:val="21"/>
                <w:highlight w:val="none"/>
                <w:lang w:val="en-US" w:eastAsia="zh-CN"/>
              </w:rPr>
              <w:sym w:font="Wingdings" w:char="00A8"/>
            </w:r>
          </w:p>
          <w:p w14:paraId="37BF2355">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Times New Roman" w:hAnsi="Times New Roman" w:eastAsia="宋体" w:cs="仿宋"/>
                <w:b w:val="0"/>
                <w:bCs/>
                <w:sz w:val="21"/>
                <w:szCs w:val="21"/>
                <w:highlight w:val="none"/>
                <w:lang w:val="en-US" w:eastAsia="zh-CN"/>
              </w:rPr>
            </w:pPr>
            <w:r>
              <w:rPr>
                <w:rFonts w:hint="eastAsia" w:ascii="Times New Roman" w:hAnsi="Times New Roman" w:eastAsia="宋体" w:cs="仿宋"/>
                <w:b w:val="0"/>
                <w:bCs/>
                <w:sz w:val="21"/>
                <w:szCs w:val="21"/>
                <w:highlight w:val="none"/>
                <w:lang w:val="en-US" w:eastAsia="zh-CN"/>
              </w:rPr>
              <w:t>三级甲等医院资质证明</w:t>
            </w:r>
            <w:r>
              <w:rPr>
                <w:rFonts w:hint="eastAsia" w:ascii="Times New Roman" w:hAnsi="Times New Roman" w:eastAsia="宋体" w:cs="仿宋"/>
                <w:b w:val="0"/>
                <w:bCs/>
                <w:sz w:val="21"/>
                <w:szCs w:val="21"/>
                <w:highlight w:val="none"/>
                <w:lang w:val="en-US" w:eastAsia="zh-CN"/>
              </w:rPr>
              <w:sym w:font="Wingdings" w:char="00A8"/>
            </w:r>
          </w:p>
        </w:tc>
      </w:tr>
      <w:tr w14:paraId="20BE1F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1016" w:type="pct"/>
            <w:tcBorders>
              <w:tl2br w:val="nil"/>
              <w:tr2bl w:val="nil"/>
            </w:tcBorders>
            <w:noWrap w:val="0"/>
            <w:vAlign w:val="center"/>
          </w:tcPr>
          <w:p w14:paraId="5B62EA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仿宋"/>
                <w:b w:val="0"/>
                <w:bCs/>
                <w:sz w:val="21"/>
                <w:szCs w:val="21"/>
                <w:highlight w:val="none"/>
              </w:rPr>
            </w:pPr>
            <w:r>
              <w:rPr>
                <w:rFonts w:hint="eastAsia" w:ascii="Times New Roman" w:hAnsi="Times New Roman" w:eastAsia="宋体" w:cs="仿宋"/>
                <w:b w:val="0"/>
                <w:bCs/>
                <w:sz w:val="21"/>
                <w:szCs w:val="21"/>
                <w:highlight w:val="none"/>
              </w:rPr>
              <w:t>备注</w:t>
            </w:r>
          </w:p>
        </w:tc>
        <w:tc>
          <w:tcPr>
            <w:tcW w:w="3983" w:type="pct"/>
            <w:gridSpan w:val="5"/>
            <w:tcBorders>
              <w:tl2br w:val="nil"/>
              <w:tr2bl w:val="nil"/>
            </w:tcBorders>
            <w:noWrap w:val="0"/>
            <w:vAlign w:val="bottom"/>
          </w:tcPr>
          <w:p w14:paraId="3016DE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仿宋"/>
                <w:b w:val="0"/>
                <w:bCs/>
                <w:sz w:val="21"/>
                <w:szCs w:val="21"/>
                <w:highlight w:val="none"/>
              </w:rPr>
            </w:pPr>
          </w:p>
          <w:p w14:paraId="2E97D50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仿宋"/>
                <w:b w:val="0"/>
                <w:bCs/>
                <w:sz w:val="21"/>
                <w:szCs w:val="21"/>
                <w:highlight w:val="none"/>
              </w:rPr>
            </w:pPr>
          </w:p>
        </w:tc>
      </w:tr>
    </w:tbl>
    <w:p w14:paraId="62E5748B">
      <w:pPr>
        <w:keepNext w:val="0"/>
        <w:keepLines w:val="0"/>
        <w:pageBreakBefore w:val="0"/>
        <w:widowControl/>
        <w:numPr>
          <w:ilvl w:val="0"/>
          <w:numId w:val="0"/>
        </w:numPr>
        <w:kinsoku/>
        <w:wordWrap w:val="0"/>
        <w:overflowPunct/>
        <w:topLinePunct w:val="0"/>
        <w:autoSpaceDE/>
        <w:autoSpaceDN/>
        <w:bidi w:val="0"/>
        <w:adjustRightInd/>
        <w:snapToGrid/>
        <w:spacing w:beforeLines="30" w:line="240" w:lineRule="auto"/>
        <w:ind w:firstLine="440" w:firstLineChars="200"/>
        <w:jc w:val="both"/>
        <w:textAlignment w:val="auto"/>
        <w:rPr>
          <w:rFonts w:hint="eastAsia" w:ascii="Times New Roman" w:hAnsi="Times New Roman" w:eastAsia="仿宋_GB2312" w:cs="仿宋"/>
          <w:bCs/>
          <w:sz w:val="22"/>
          <w:szCs w:val="22"/>
          <w:highlight w:val="none"/>
          <w:lang w:val="en-US" w:eastAsia="zh-CN"/>
        </w:rPr>
      </w:pPr>
      <w:r>
        <w:rPr>
          <w:rFonts w:hint="eastAsia" w:ascii="Times New Roman" w:hAnsi="Times New Roman" w:eastAsia="仿宋_GB2312" w:cs="仿宋"/>
          <w:bCs/>
          <w:sz w:val="22"/>
          <w:szCs w:val="22"/>
          <w:highlight w:val="none"/>
          <w:lang w:val="en-US" w:eastAsia="zh-CN"/>
        </w:rPr>
        <w:t>填报说明：本表为招标公告附件，请有意向参与的投标人填报本表，并按序提交资格文件电子版（加盖公章扫描PDF格式，与本表压缩至文件包，以“拟投标人全称-响应文件”为格式，于2025年8月28日17时前发送至huangxj@plhr.cn）</w:t>
      </w:r>
    </w:p>
    <w:p w14:paraId="0969DD44">
      <w:pPr>
        <w:rPr>
          <w:rFonts w:hint="eastAsia"/>
          <w:b/>
          <w:bCs w:val="0"/>
          <w:highlight w:val="none"/>
        </w:rPr>
      </w:pPr>
    </w:p>
    <w:p w14:paraId="1297E6C1">
      <w:pPr>
        <w:rPr>
          <w:rFonts w:hint="eastAsia"/>
          <w:b/>
          <w:bCs w:val="0"/>
          <w:highlight w:val="none"/>
        </w:rPr>
      </w:pPr>
    </w:p>
    <w:p w14:paraId="36B57902">
      <w:pPr>
        <w:rPr>
          <w:rFonts w:hint="eastAsia"/>
          <w:b/>
          <w:bCs w:val="0"/>
          <w:highlight w:val="none"/>
        </w:rPr>
      </w:pPr>
    </w:p>
    <w:p w14:paraId="3D9A04D1">
      <w:pPr>
        <w:pStyle w:val="3"/>
        <w:pageBreakBefore w:val="0"/>
        <w:kinsoku/>
        <w:overflowPunct/>
        <w:topLinePunct w:val="0"/>
        <w:autoSpaceDE/>
        <w:autoSpaceDN/>
        <w:bidi w:val="0"/>
        <w:spacing w:line="560" w:lineRule="exact"/>
        <w:ind w:left="0" w:leftChars="0"/>
        <w:jc w:val="center"/>
        <w:textAlignment w:val="auto"/>
        <w:rPr>
          <w:rFonts w:hint="default" w:ascii="黑体" w:hAnsi="黑体" w:eastAsia="黑体" w:cs="黑体"/>
          <w:b w:val="0"/>
          <w:bCs/>
          <w:sz w:val="32"/>
          <w:szCs w:val="32"/>
          <w:highlight w:val="none"/>
          <w:lang w:val="en-US" w:eastAsia="zh-CN"/>
        </w:rPr>
      </w:pPr>
      <w:bookmarkStart w:id="15" w:name="_Toc30095"/>
      <w:bookmarkStart w:id="16" w:name="第二部分"/>
      <w:r>
        <w:rPr>
          <w:rFonts w:hint="eastAsia" w:ascii="黑体" w:hAnsi="黑体" w:cs="黑体"/>
          <w:b w:val="0"/>
          <w:bCs/>
          <w:sz w:val="32"/>
          <w:szCs w:val="32"/>
          <w:highlight w:val="none"/>
          <w:lang w:val="en-US" w:eastAsia="zh-CN"/>
        </w:rPr>
        <w:t>第二部分 招标文件</w:t>
      </w:r>
      <w:bookmarkEnd w:id="15"/>
    </w:p>
    <w:bookmarkEnd w:id="16"/>
    <w:p w14:paraId="2D4B3791">
      <w:pPr>
        <w:pStyle w:val="3"/>
        <w:pageBreakBefore w:val="0"/>
        <w:kinsoku/>
        <w:overflowPunct/>
        <w:topLinePunct w:val="0"/>
        <w:autoSpaceDE/>
        <w:autoSpaceDN/>
        <w:bidi w:val="0"/>
        <w:spacing w:line="560" w:lineRule="exact"/>
        <w:ind w:left="0" w:leftChars="0"/>
        <w:jc w:val="center"/>
        <w:textAlignment w:val="auto"/>
        <w:rPr>
          <w:rFonts w:hint="default" w:ascii="黑体" w:hAnsi="黑体" w:eastAsia="黑体" w:cs="黑体"/>
          <w:b w:val="0"/>
          <w:bCs/>
          <w:sz w:val="32"/>
          <w:szCs w:val="32"/>
          <w:highlight w:val="none"/>
          <w:lang w:val="en-US" w:eastAsia="zh-CN"/>
        </w:rPr>
      </w:pPr>
      <w:bookmarkStart w:id="17" w:name="_Toc14060"/>
      <w:r>
        <w:rPr>
          <w:rFonts w:hint="eastAsia" w:ascii="黑体" w:hAnsi="黑体" w:eastAsia="黑体" w:cs="黑体"/>
          <w:b w:val="0"/>
          <w:bCs/>
          <w:sz w:val="32"/>
          <w:szCs w:val="32"/>
          <w:highlight w:val="none"/>
        </w:rPr>
        <w:t>第一章 项目概况</w:t>
      </w:r>
      <w:bookmarkEnd w:id="3"/>
      <w:r>
        <w:rPr>
          <w:rFonts w:hint="eastAsia" w:ascii="黑体" w:hAnsi="黑体" w:cs="黑体"/>
          <w:b w:val="0"/>
          <w:bCs/>
          <w:sz w:val="32"/>
          <w:szCs w:val="32"/>
          <w:highlight w:val="none"/>
          <w:lang w:val="en-US" w:eastAsia="zh-CN"/>
        </w:rPr>
        <w:t>及招标程序</w:t>
      </w:r>
      <w:bookmarkEnd w:id="17"/>
    </w:p>
    <w:p w14:paraId="4D306F8F">
      <w:pPr>
        <w:pStyle w:val="4"/>
        <w:pageBreakBefore w:val="0"/>
        <w:kinsoku/>
        <w:wordWrap/>
        <w:overflowPunct/>
        <w:topLinePunct w:val="0"/>
        <w:autoSpaceDE/>
        <w:autoSpaceDN/>
        <w:bidi w:val="0"/>
        <w:spacing w:before="0" w:after="0" w:line="560" w:lineRule="exact"/>
        <w:ind w:left="0" w:leftChars="0" w:firstLine="560"/>
        <w:textAlignment w:val="auto"/>
        <w:rPr>
          <w:rFonts w:hint="eastAsia" w:ascii="黑体" w:hAnsi="黑体" w:eastAsia="黑体" w:cs="黑体"/>
          <w:b w:val="0"/>
          <w:bCs/>
          <w:sz w:val="32"/>
          <w:szCs w:val="32"/>
          <w:highlight w:val="none"/>
          <w:lang w:val="zh-CN"/>
        </w:rPr>
      </w:pPr>
      <w:bookmarkStart w:id="18" w:name="_Toc2260"/>
      <w:r>
        <w:rPr>
          <w:rFonts w:hint="eastAsia" w:ascii="黑体" w:hAnsi="黑体" w:eastAsia="黑体" w:cs="黑体"/>
          <w:b w:val="0"/>
          <w:bCs/>
          <w:sz w:val="32"/>
          <w:szCs w:val="32"/>
          <w:highlight w:val="none"/>
          <w:lang w:val="zh-CN"/>
        </w:rPr>
        <w:t>一、项目名称</w:t>
      </w:r>
      <w:bookmarkEnd w:id="18"/>
    </w:p>
    <w:p w14:paraId="7A30417D">
      <w:pPr>
        <w:pStyle w:val="8"/>
        <w:pageBreakBefore w:val="0"/>
        <w:tabs>
          <w:tab w:val="left" w:pos="7740"/>
        </w:tabs>
        <w:kinsoku/>
        <w:wordWrap/>
        <w:overflowPunct/>
        <w:topLinePunct w:val="0"/>
        <w:autoSpaceDE/>
        <w:autoSpaceDN/>
        <w:bidi w:val="0"/>
        <w:adjustRightInd w:val="0"/>
        <w:snapToGrid w:val="0"/>
        <w:spacing w:line="560" w:lineRule="exact"/>
        <w:ind w:left="0" w:leftChars="0" w:firstLine="560"/>
        <w:textAlignment w:val="auto"/>
        <w:rPr>
          <w:rFonts w:hint="default" w:ascii="Times New Roman" w:hAnsi="Times New Roman" w:eastAsia="仿宋_GB2312" w:cs="仿宋"/>
          <w:b w:val="0"/>
          <w:bCs/>
          <w:kern w:val="2"/>
          <w:sz w:val="32"/>
          <w:szCs w:val="32"/>
          <w:highlight w:val="none"/>
          <w:lang w:val="en-US" w:eastAsia="zh-CN"/>
        </w:rPr>
      </w:pPr>
      <w:r>
        <w:rPr>
          <w:rFonts w:hint="eastAsia" w:ascii="Times New Roman" w:hAnsi="Times New Roman" w:eastAsia="仿宋_GB2312" w:cs="仿宋"/>
          <w:b w:val="0"/>
          <w:bCs/>
          <w:kern w:val="2"/>
          <w:sz w:val="32"/>
          <w:szCs w:val="32"/>
          <w:highlight w:val="none"/>
          <w:lang w:val="zh-CN"/>
        </w:rPr>
        <w:t>深圳市鹏劳人力资源管理有限公司</w:t>
      </w:r>
      <w:r>
        <w:rPr>
          <w:rFonts w:hint="eastAsia" w:ascii="Times New Roman" w:hAnsi="Times New Roman" w:eastAsia="仿宋_GB2312" w:cs="仿宋"/>
          <w:b w:val="0"/>
          <w:bCs/>
          <w:kern w:val="2"/>
          <w:sz w:val="32"/>
          <w:szCs w:val="32"/>
          <w:highlight w:val="none"/>
          <w:lang w:val="en-US" w:eastAsia="zh-CN"/>
        </w:rPr>
        <w:t>2025年度</w:t>
      </w:r>
      <w:r>
        <w:rPr>
          <w:rFonts w:hint="eastAsia" w:ascii="Times New Roman" w:hAnsi="Times New Roman" w:eastAsia="仿宋_GB2312" w:cs="仿宋"/>
          <w:b w:val="0"/>
          <w:bCs/>
          <w:kern w:val="2"/>
          <w:sz w:val="32"/>
          <w:szCs w:val="32"/>
          <w:highlight w:val="none"/>
          <w:lang w:val="zh-CN"/>
        </w:rPr>
        <w:t>员工</w:t>
      </w:r>
      <w:r>
        <w:rPr>
          <w:rFonts w:hint="eastAsia" w:ascii="Times New Roman" w:hAnsi="Times New Roman" w:eastAsia="仿宋_GB2312" w:cs="仿宋"/>
          <w:b w:val="0"/>
          <w:bCs/>
          <w:kern w:val="2"/>
          <w:sz w:val="32"/>
          <w:szCs w:val="32"/>
          <w:highlight w:val="none"/>
          <w:lang w:val="en-US" w:eastAsia="zh-CN"/>
        </w:rPr>
        <w:t>健康</w:t>
      </w:r>
      <w:r>
        <w:rPr>
          <w:rFonts w:hint="eastAsia" w:ascii="Times New Roman" w:hAnsi="Times New Roman" w:eastAsia="仿宋_GB2312" w:cs="仿宋"/>
          <w:b w:val="0"/>
          <w:bCs/>
          <w:kern w:val="2"/>
          <w:sz w:val="32"/>
          <w:szCs w:val="32"/>
          <w:highlight w:val="none"/>
          <w:lang w:val="zh-CN"/>
        </w:rPr>
        <w:t>体检</w:t>
      </w:r>
      <w:r>
        <w:rPr>
          <w:rFonts w:hint="eastAsia" w:ascii="Times New Roman" w:hAnsi="Times New Roman" w:eastAsia="仿宋_GB2312" w:cs="仿宋"/>
          <w:b w:val="0"/>
          <w:bCs/>
          <w:kern w:val="2"/>
          <w:sz w:val="32"/>
          <w:szCs w:val="32"/>
          <w:highlight w:val="none"/>
          <w:lang w:val="en-US" w:eastAsia="zh-CN"/>
        </w:rPr>
        <w:t>项目（二次）</w:t>
      </w:r>
    </w:p>
    <w:p w14:paraId="40A92D22">
      <w:pPr>
        <w:pStyle w:val="4"/>
        <w:pageBreakBefore w:val="0"/>
        <w:kinsoku/>
        <w:wordWrap/>
        <w:overflowPunct/>
        <w:topLinePunct w:val="0"/>
        <w:autoSpaceDE/>
        <w:autoSpaceDN/>
        <w:bidi w:val="0"/>
        <w:spacing w:before="0" w:after="0" w:line="560" w:lineRule="exact"/>
        <w:ind w:left="0" w:leftChars="0" w:firstLine="560"/>
        <w:textAlignment w:val="auto"/>
        <w:rPr>
          <w:rFonts w:hint="eastAsia" w:ascii="黑体" w:hAnsi="黑体" w:eastAsia="黑体" w:cs="黑体"/>
          <w:b w:val="0"/>
          <w:bCs/>
          <w:sz w:val="32"/>
          <w:szCs w:val="32"/>
          <w:highlight w:val="none"/>
          <w:lang w:val="zh-CN"/>
        </w:rPr>
      </w:pPr>
      <w:bookmarkStart w:id="19" w:name="_Toc26069"/>
      <w:r>
        <w:rPr>
          <w:rFonts w:hint="eastAsia" w:ascii="黑体" w:hAnsi="黑体" w:eastAsia="黑体" w:cs="黑体"/>
          <w:b w:val="0"/>
          <w:bCs/>
          <w:sz w:val="32"/>
          <w:szCs w:val="32"/>
          <w:highlight w:val="none"/>
          <w:lang w:val="zh-CN"/>
        </w:rPr>
        <w:t>二、招标编号</w:t>
      </w:r>
      <w:bookmarkEnd w:id="19"/>
    </w:p>
    <w:p w14:paraId="22B9A284">
      <w:pPr>
        <w:pStyle w:val="8"/>
        <w:pageBreakBefore w:val="0"/>
        <w:tabs>
          <w:tab w:val="left" w:pos="7740"/>
        </w:tabs>
        <w:kinsoku/>
        <w:wordWrap/>
        <w:overflowPunct/>
        <w:topLinePunct w:val="0"/>
        <w:autoSpaceDE/>
        <w:autoSpaceDN/>
        <w:bidi w:val="0"/>
        <w:adjustRightInd w:val="0"/>
        <w:snapToGrid w:val="0"/>
        <w:spacing w:line="560" w:lineRule="exact"/>
        <w:ind w:left="0" w:leftChars="0" w:firstLine="560"/>
        <w:textAlignment w:val="auto"/>
        <w:rPr>
          <w:rFonts w:hint="eastAsia" w:ascii="Times New Roman" w:hAnsi="Times New Roman" w:eastAsia="仿宋_GB2312" w:cs="仿宋"/>
          <w:b w:val="0"/>
          <w:bCs/>
          <w:kern w:val="2"/>
          <w:sz w:val="32"/>
          <w:szCs w:val="32"/>
          <w:highlight w:val="none"/>
          <w:lang w:val="en-US" w:eastAsia="zh-CN"/>
        </w:rPr>
      </w:pPr>
      <w:r>
        <w:rPr>
          <w:rFonts w:hint="eastAsia" w:ascii="Times New Roman" w:hAnsi="Times New Roman" w:eastAsia="仿宋_GB2312" w:cs="仿宋"/>
          <w:b w:val="0"/>
          <w:bCs/>
          <w:kern w:val="2"/>
          <w:sz w:val="32"/>
          <w:szCs w:val="32"/>
          <w:highlight w:val="none"/>
          <w:lang w:val="zh-CN" w:eastAsia="zh-CN"/>
        </w:rPr>
        <w:t>PLHR-ZB-FW-20250601</w:t>
      </w:r>
    </w:p>
    <w:p w14:paraId="3D6F8BE3">
      <w:pPr>
        <w:pStyle w:val="4"/>
        <w:pageBreakBefore w:val="0"/>
        <w:kinsoku/>
        <w:wordWrap/>
        <w:overflowPunct/>
        <w:topLinePunct w:val="0"/>
        <w:autoSpaceDE/>
        <w:autoSpaceDN/>
        <w:bidi w:val="0"/>
        <w:spacing w:before="0" w:after="0" w:line="560" w:lineRule="exact"/>
        <w:ind w:left="0" w:leftChars="0" w:firstLine="560"/>
        <w:textAlignment w:val="auto"/>
        <w:rPr>
          <w:rFonts w:hint="eastAsia" w:ascii="黑体" w:hAnsi="黑体" w:eastAsia="黑体" w:cs="黑体"/>
          <w:b w:val="0"/>
          <w:bCs/>
          <w:sz w:val="32"/>
          <w:szCs w:val="32"/>
          <w:highlight w:val="none"/>
        </w:rPr>
      </w:pPr>
      <w:bookmarkStart w:id="20" w:name="_Toc22682"/>
      <w:r>
        <w:rPr>
          <w:rFonts w:hint="eastAsia" w:ascii="黑体" w:hAnsi="黑体" w:eastAsia="黑体" w:cs="黑体"/>
          <w:b w:val="0"/>
          <w:bCs/>
          <w:sz w:val="32"/>
          <w:szCs w:val="32"/>
          <w:highlight w:val="none"/>
        </w:rPr>
        <w:t>三、投标人资质要求</w:t>
      </w:r>
      <w:bookmarkEnd w:id="20"/>
    </w:p>
    <w:p w14:paraId="4C7909E7">
      <w:pPr>
        <w:pStyle w:val="8"/>
        <w:pageBreakBefore w:val="0"/>
        <w:tabs>
          <w:tab w:val="left" w:pos="7740"/>
        </w:tabs>
        <w:kinsoku/>
        <w:wordWrap/>
        <w:overflowPunct/>
        <w:topLinePunct w:val="0"/>
        <w:autoSpaceDE/>
        <w:autoSpaceDN/>
        <w:bidi w:val="0"/>
        <w:adjustRightInd w:val="0"/>
        <w:snapToGrid w:val="0"/>
        <w:spacing w:line="560" w:lineRule="exact"/>
        <w:ind w:left="0" w:leftChars="0" w:firstLine="560"/>
        <w:textAlignment w:val="auto"/>
        <w:rPr>
          <w:rFonts w:hint="default" w:ascii="Times New Roman" w:hAnsi="Times New Roman" w:eastAsia="仿宋_GB2312" w:cs="仿宋"/>
          <w:b w:val="0"/>
          <w:bCs/>
          <w:kern w:val="2"/>
          <w:sz w:val="32"/>
          <w:szCs w:val="32"/>
          <w:highlight w:val="none"/>
          <w:lang w:val="en-US" w:eastAsia="zh-CN"/>
        </w:rPr>
      </w:pPr>
      <w:r>
        <w:rPr>
          <w:rFonts w:hint="default" w:ascii="Times New Roman" w:hAnsi="Times New Roman" w:eastAsia="仿宋_GB2312" w:cs="仿宋"/>
          <w:b w:val="0"/>
          <w:bCs/>
          <w:kern w:val="2"/>
          <w:sz w:val="32"/>
          <w:szCs w:val="32"/>
          <w:highlight w:val="none"/>
          <w:lang w:val="en-US" w:eastAsia="zh-CN"/>
        </w:rPr>
        <w:t>（一）投标人应为国内合法合规注册，具备独立法人资格，且根据国家《医院分级管理办法》评级达到三级甲等的医院</w:t>
      </w:r>
      <w:r>
        <w:rPr>
          <w:rFonts w:hint="eastAsia" w:ascii="Times New Roman" w:hAnsi="Times New Roman" w:eastAsia="仿宋_GB2312" w:cs="仿宋"/>
          <w:b w:val="0"/>
          <w:bCs/>
          <w:kern w:val="2"/>
          <w:sz w:val="32"/>
          <w:szCs w:val="32"/>
          <w:highlight w:val="none"/>
          <w:lang w:val="en-US" w:eastAsia="zh-CN"/>
        </w:rPr>
        <w:t>。</w:t>
      </w:r>
    </w:p>
    <w:p w14:paraId="571A8E52">
      <w:pPr>
        <w:pStyle w:val="8"/>
        <w:pageBreakBefore w:val="0"/>
        <w:tabs>
          <w:tab w:val="left" w:pos="7740"/>
        </w:tabs>
        <w:kinsoku/>
        <w:wordWrap/>
        <w:overflowPunct/>
        <w:topLinePunct w:val="0"/>
        <w:autoSpaceDE/>
        <w:autoSpaceDN/>
        <w:bidi w:val="0"/>
        <w:adjustRightInd w:val="0"/>
        <w:snapToGrid w:val="0"/>
        <w:spacing w:line="560" w:lineRule="exact"/>
        <w:ind w:left="0" w:leftChars="0" w:firstLine="560"/>
        <w:textAlignment w:val="auto"/>
        <w:rPr>
          <w:rFonts w:hint="default" w:ascii="Times New Roman" w:hAnsi="Times New Roman" w:eastAsia="仿宋_GB2312" w:cs="仿宋"/>
          <w:b w:val="0"/>
          <w:bCs/>
          <w:kern w:val="2"/>
          <w:sz w:val="32"/>
          <w:szCs w:val="32"/>
          <w:highlight w:val="none"/>
          <w:lang w:val="en-US" w:eastAsia="zh-CN"/>
        </w:rPr>
      </w:pPr>
      <w:r>
        <w:rPr>
          <w:rFonts w:hint="default" w:ascii="Times New Roman" w:hAnsi="Times New Roman" w:eastAsia="仿宋_GB2312" w:cs="仿宋"/>
          <w:b w:val="0"/>
          <w:bCs/>
          <w:kern w:val="2"/>
          <w:sz w:val="32"/>
          <w:szCs w:val="32"/>
          <w:highlight w:val="none"/>
          <w:lang w:val="en-US" w:eastAsia="zh-CN"/>
        </w:rPr>
        <w:t>（二）投标人总部</w:t>
      </w:r>
      <w:r>
        <w:rPr>
          <w:rFonts w:hint="eastAsia" w:ascii="Times New Roman" w:hAnsi="Times New Roman" w:eastAsia="仿宋_GB2312" w:cs="仿宋"/>
          <w:b w:val="0"/>
          <w:bCs/>
          <w:kern w:val="2"/>
          <w:sz w:val="32"/>
          <w:szCs w:val="32"/>
          <w:highlight w:val="none"/>
          <w:lang w:val="en-US" w:eastAsia="zh-CN"/>
        </w:rPr>
        <w:t>或分支机构</w:t>
      </w:r>
      <w:r>
        <w:rPr>
          <w:rFonts w:hint="default" w:ascii="Times New Roman" w:hAnsi="Times New Roman" w:eastAsia="仿宋_GB2312" w:cs="仿宋"/>
          <w:b w:val="0"/>
          <w:bCs/>
          <w:kern w:val="2"/>
          <w:sz w:val="32"/>
          <w:szCs w:val="32"/>
          <w:highlight w:val="none"/>
          <w:lang w:val="en-US" w:eastAsia="zh-CN"/>
        </w:rPr>
        <w:t>设立具备公众体检服务接待能力</w:t>
      </w:r>
      <w:r>
        <w:rPr>
          <w:rFonts w:hint="eastAsia" w:ascii="Times New Roman" w:hAnsi="Times New Roman" w:eastAsia="仿宋_GB2312" w:cs="仿宋"/>
          <w:b w:val="0"/>
          <w:bCs/>
          <w:kern w:val="2"/>
          <w:sz w:val="32"/>
          <w:szCs w:val="32"/>
          <w:highlight w:val="none"/>
          <w:lang w:val="en-US" w:eastAsia="zh-CN"/>
        </w:rPr>
        <w:t>。</w:t>
      </w:r>
    </w:p>
    <w:p w14:paraId="4FA87666">
      <w:pPr>
        <w:pStyle w:val="8"/>
        <w:pageBreakBefore w:val="0"/>
        <w:tabs>
          <w:tab w:val="left" w:pos="7740"/>
        </w:tabs>
        <w:kinsoku/>
        <w:wordWrap/>
        <w:overflowPunct/>
        <w:topLinePunct w:val="0"/>
        <w:autoSpaceDE/>
        <w:autoSpaceDN/>
        <w:bidi w:val="0"/>
        <w:adjustRightInd w:val="0"/>
        <w:snapToGrid w:val="0"/>
        <w:spacing w:line="560" w:lineRule="exact"/>
        <w:ind w:left="0" w:leftChars="0" w:firstLine="560"/>
        <w:textAlignment w:val="auto"/>
        <w:rPr>
          <w:rFonts w:hint="default" w:ascii="Times New Roman" w:hAnsi="Times New Roman" w:eastAsia="仿宋_GB2312" w:cs="仿宋"/>
          <w:b w:val="0"/>
          <w:bCs/>
          <w:kern w:val="2"/>
          <w:sz w:val="32"/>
          <w:szCs w:val="32"/>
          <w:highlight w:val="none"/>
          <w:lang w:val="en-US" w:eastAsia="zh-CN"/>
        </w:rPr>
      </w:pPr>
      <w:r>
        <w:rPr>
          <w:rFonts w:hint="default" w:ascii="Times New Roman" w:hAnsi="Times New Roman" w:eastAsia="仿宋_GB2312" w:cs="仿宋"/>
          <w:b w:val="0"/>
          <w:bCs/>
          <w:kern w:val="2"/>
          <w:sz w:val="32"/>
          <w:szCs w:val="32"/>
          <w:highlight w:val="none"/>
          <w:lang w:val="en-US" w:eastAsia="zh-CN"/>
        </w:rPr>
        <w:t>（三）投标人具有完全响应本项目服务提供需求的能力，能独立承担本招标文件所示民事等法律责任和合同义务。</w:t>
      </w:r>
    </w:p>
    <w:p w14:paraId="3FB51AD8">
      <w:pPr>
        <w:pStyle w:val="8"/>
        <w:keepNext w:val="0"/>
        <w:keepLines w:val="0"/>
        <w:pageBreakBefore w:val="0"/>
        <w:widowControl w:val="0"/>
        <w:tabs>
          <w:tab w:val="left" w:pos="7740"/>
        </w:tabs>
        <w:kinsoku/>
        <w:wordWrap w:val="0"/>
        <w:overflowPunct/>
        <w:topLinePunct w:val="0"/>
        <w:autoSpaceDE/>
        <w:autoSpaceDN/>
        <w:bidi w:val="0"/>
        <w:adjustRightInd w:val="0"/>
        <w:snapToGrid w:val="0"/>
        <w:spacing w:line="560" w:lineRule="exact"/>
        <w:ind w:left="0" w:leftChars="0" w:firstLine="560"/>
        <w:textAlignment w:val="auto"/>
        <w:rPr>
          <w:rFonts w:hint="default" w:ascii="Times New Roman" w:hAnsi="Times New Roman" w:eastAsia="仿宋_GB2312" w:cs="仿宋"/>
          <w:b w:val="0"/>
          <w:bCs/>
          <w:kern w:val="2"/>
          <w:sz w:val="32"/>
          <w:szCs w:val="32"/>
          <w:highlight w:val="none"/>
          <w:lang w:val="en-US" w:eastAsia="zh-CN"/>
        </w:rPr>
      </w:pPr>
      <w:r>
        <w:rPr>
          <w:rFonts w:hint="default" w:ascii="Times New Roman" w:hAnsi="Times New Roman" w:eastAsia="仿宋_GB2312" w:cs="仿宋"/>
          <w:b w:val="0"/>
          <w:bCs/>
          <w:kern w:val="2"/>
          <w:sz w:val="32"/>
          <w:szCs w:val="32"/>
          <w:highlight w:val="none"/>
          <w:lang w:val="en-US" w:eastAsia="zh-CN"/>
        </w:rPr>
        <w:t>（四）</w:t>
      </w:r>
      <w:r>
        <w:rPr>
          <w:rFonts w:hint="eastAsia" w:ascii="Times New Roman" w:hAnsi="Times New Roman" w:eastAsia="仿宋_GB2312" w:cs="仿宋"/>
          <w:b w:val="0"/>
          <w:bCs/>
          <w:kern w:val="2"/>
          <w:sz w:val="32"/>
          <w:szCs w:val="32"/>
          <w:highlight w:val="none"/>
          <w:lang w:val="en-US" w:eastAsia="zh-CN"/>
        </w:rPr>
        <w:t>投标人无在“信用中国”网站（www.creditchina.gov.cn）、中国政府采购网（www.ccgp.gov.cn）、</w:t>
      </w:r>
      <w:r>
        <w:rPr>
          <w:rFonts w:hint="eastAsia" w:ascii="Times New Roman" w:hAnsi="Times New Roman" w:eastAsia="仿宋_GB2312" w:cs="仿宋"/>
          <w:b w:val="0"/>
          <w:bCs/>
          <w:kern w:val="2"/>
          <w:sz w:val="32"/>
          <w:szCs w:val="32"/>
          <w:highlight w:val="none"/>
          <w:lang w:val="en-US" w:eastAsia="zh-CN"/>
        </w:rPr>
        <w:fldChar w:fldCharType="begin"/>
      </w:r>
      <w:r>
        <w:rPr>
          <w:rFonts w:hint="eastAsia" w:ascii="Times New Roman" w:hAnsi="Times New Roman" w:eastAsia="仿宋_GB2312" w:cs="仿宋"/>
          <w:b w:val="0"/>
          <w:bCs/>
          <w:kern w:val="2"/>
          <w:sz w:val="32"/>
          <w:szCs w:val="32"/>
          <w:highlight w:val="none"/>
          <w:lang w:val="en-US" w:eastAsia="zh-CN"/>
        </w:rPr>
        <w:instrText xml:space="preserve"> HYPERLINK "https://wenshu.court.gov.cn/" </w:instrText>
      </w:r>
      <w:r>
        <w:rPr>
          <w:rFonts w:hint="eastAsia" w:ascii="Times New Roman" w:hAnsi="Times New Roman" w:eastAsia="仿宋_GB2312" w:cs="仿宋"/>
          <w:b w:val="0"/>
          <w:bCs/>
          <w:kern w:val="2"/>
          <w:sz w:val="32"/>
          <w:szCs w:val="32"/>
          <w:highlight w:val="none"/>
          <w:lang w:val="en-US" w:eastAsia="zh-CN"/>
        </w:rPr>
        <w:fldChar w:fldCharType="separate"/>
      </w:r>
      <w:r>
        <w:rPr>
          <w:rFonts w:hint="eastAsia" w:ascii="Times New Roman" w:hAnsi="Times New Roman" w:eastAsia="仿宋_GB2312" w:cs="仿宋"/>
          <w:b w:val="0"/>
          <w:bCs/>
          <w:kern w:val="2"/>
          <w:sz w:val="32"/>
          <w:szCs w:val="32"/>
          <w:highlight w:val="none"/>
          <w:lang w:val="en-US" w:eastAsia="zh-CN"/>
        </w:rPr>
        <w:t>中国裁判文书网（wenshu.court.gov.cn）</w:t>
      </w:r>
      <w:r>
        <w:rPr>
          <w:rFonts w:hint="eastAsia" w:ascii="Times New Roman" w:hAnsi="Times New Roman" w:eastAsia="仿宋_GB2312" w:cs="仿宋"/>
          <w:b w:val="0"/>
          <w:bCs/>
          <w:kern w:val="2"/>
          <w:sz w:val="32"/>
          <w:szCs w:val="32"/>
          <w:highlight w:val="none"/>
          <w:lang w:val="en-US" w:eastAsia="zh-CN"/>
        </w:rPr>
        <w:fldChar w:fldCharType="end"/>
      </w:r>
      <w:r>
        <w:rPr>
          <w:rFonts w:hint="eastAsia" w:ascii="Times New Roman" w:hAnsi="Times New Roman" w:eastAsia="仿宋_GB2312" w:cs="仿宋"/>
          <w:b w:val="0"/>
          <w:bCs/>
          <w:kern w:val="2"/>
          <w:sz w:val="32"/>
          <w:szCs w:val="32"/>
          <w:highlight w:val="none"/>
          <w:lang w:val="en-US" w:eastAsia="zh-CN"/>
        </w:rPr>
        <w:t>等渠道列入失信被执行人、重大税收违法案件当事人名单、政府采购严重违法失信行为记录名单、网络行贿行为记录的情况。</w:t>
      </w:r>
    </w:p>
    <w:p w14:paraId="7A9983B8">
      <w:pPr>
        <w:pStyle w:val="8"/>
        <w:pageBreakBefore w:val="0"/>
        <w:tabs>
          <w:tab w:val="left" w:pos="7740"/>
        </w:tabs>
        <w:kinsoku/>
        <w:wordWrap/>
        <w:overflowPunct/>
        <w:topLinePunct w:val="0"/>
        <w:autoSpaceDE/>
        <w:autoSpaceDN/>
        <w:bidi w:val="0"/>
        <w:adjustRightInd w:val="0"/>
        <w:snapToGrid w:val="0"/>
        <w:spacing w:line="560" w:lineRule="exact"/>
        <w:ind w:left="0" w:leftChars="0" w:firstLine="560"/>
        <w:textAlignment w:val="auto"/>
        <w:rPr>
          <w:rFonts w:hint="default" w:ascii="Times New Roman" w:hAnsi="Times New Roman" w:eastAsia="仿宋_GB2312" w:cs="仿宋"/>
          <w:b w:val="0"/>
          <w:bCs/>
          <w:kern w:val="2"/>
          <w:sz w:val="32"/>
          <w:szCs w:val="32"/>
          <w:highlight w:val="none"/>
          <w:lang w:val="en-US" w:eastAsia="zh-CN"/>
        </w:rPr>
      </w:pPr>
      <w:r>
        <w:rPr>
          <w:rFonts w:hint="default" w:ascii="Times New Roman" w:hAnsi="Times New Roman" w:eastAsia="仿宋_GB2312" w:cs="仿宋"/>
          <w:b w:val="0"/>
          <w:bCs/>
          <w:kern w:val="2"/>
          <w:sz w:val="32"/>
          <w:szCs w:val="32"/>
          <w:highlight w:val="none"/>
          <w:lang w:val="en-US" w:eastAsia="zh-CN"/>
        </w:rPr>
        <w:t>（五）</w:t>
      </w:r>
      <w:r>
        <w:rPr>
          <w:rFonts w:hint="eastAsia" w:ascii="Times New Roman" w:hAnsi="Times New Roman" w:eastAsia="仿宋_GB2312" w:cs="仿宋"/>
          <w:b w:val="0"/>
          <w:bCs/>
          <w:kern w:val="2"/>
          <w:sz w:val="32"/>
          <w:szCs w:val="32"/>
          <w:highlight w:val="none"/>
          <w:lang w:val="en-US" w:eastAsia="zh-CN"/>
        </w:rPr>
        <w:t>投标人如为与招标人既往合作的供应商，需满足招标人关于供应商的管理规定，且2022年1月1日至本项目确定成交人之日前投标人无重大事故、服务投诉或质量不符合记录。</w:t>
      </w:r>
    </w:p>
    <w:p w14:paraId="362C585E">
      <w:pPr>
        <w:pStyle w:val="8"/>
        <w:pageBreakBefore w:val="0"/>
        <w:tabs>
          <w:tab w:val="left" w:pos="7740"/>
        </w:tabs>
        <w:kinsoku/>
        <w:wordWrap/>
        <w:overflowPunct/>
        <w:topLinePunct w:val="0"/>
        <w:autoSpaceDE/>
        <w:autoSpaceDN/>
        <w:bidi w:val="0"/>
        <w:adjustRightInd w:val="0"/>
        <w:snapToGrid w:val="0"/>
        <w:spacing w:line="560" w:lineRule="exact"/>
        <w:ind w:left="0" w:leftChars="0" w:firstLine="560"/>
        <w:textAlignment w:val="auto"/>
        <w:rPr>
          <w:rFonts w:hint="default" w:ascii="Times New Roman" w:hAnsi="Times New Roman" w:eastAsia="仿宋_GB2312" w:cs="仿宋"/>
          <w:b w:val="0"/>
          <w:bCs/>
          <w:kern w:val="2"/>
          <w:sz w:val="32"/>
          <w:szCs w:val="32"/>
          <w:highlight w:val="none"/>
          <w:lang w:val="en-US" w:eastAsia="zh-CN"/>
        </w:rPr>
      </w:pPr>
      <w:r>
        <w:rPr>
          <w:rFonts w:hint="default" w:ascii="Times New Roman" w:hAnsi="Times New Roman" w:eastAsia="仿宋_GB2312" w:cs="仿宋"/>
          <w:b w:val="0"/>
          <w:bCs/>
          <w:kern w:val="2"/>
          <w:sz w:val="32"/>
          <w:szCs w:val="32"/>
          <w:highlight w:val="none"/>
          <w:lang w:val="en-US" w:eastAsia="zh-CN"/>
        </w:rPr>
        <w:t>（六）</w:t>
      </w:r>
      <w:r>
        <w:rPr>
          <w:rFonts w:hint="eastAsia" w:ascii="Times New Roman" w:hAnsi="Times New Roman" w:eastAsia="仿宋_GB2312" w:cs="仿宋"/>
          <w:b w:val="0"/>
          <w:bCs/>
          <w:kern w:val="2"/>
          <w:sz w:val="32"/>
          <w:szCs w:val="32"/>
          <w:highlight w:val="none"/>
          <w:lang w:val="en-US" w:eastAsia="zh-CN"/>
        </w:rPr>
        <w:t>标人能够开具符合国家法律法规规定、符合国有企业财务管理及审计合规要求的增值税发票，如所提供的产品或服务税率不同，须按照相应税率分别开具发票。</w:t>
      </w:r>
    </w:p>
    <w:p w14:paraId="2AD54FAC">
      <w:pPr>
        <w:pStyle w:val="8"/>
        <w:pageBreakBefore w:val="0"/>
        <w:tabs>
          <w:tab w:val="left" w:pos="7740"/>
        </w:tabs>
        <w:kinsoku/>
        <w:wordWrap/>
        <w:overflowPunct/>
        <w:topLinePunct w:val="0"/>
        <w:autoSpaceDE/>
        <w:autoSpaceDN/>
        <w:bidi w:val="0"/>
        <w:adjustRightInd w:val="0"/>
        <w:snapToGrid w:val="0"/>
        <w:spacing w:line="560" w:lineRule="exact"/>
        <w:ind w:left="0" w:leftChars="0" w:firstLine="560"/>
        <w:textAlignment w:val="auto"/>
        <w:rPr>
          <w:rFonts w:hint="default" w:ascii="Times New Roman" w:hAnsi="Times New Roman" w:eastAsia="仿宋_GB2312" w:cs="仿宋"/>
          <w:b w:val="0"/>
          <w:bCs/>
          <w:kern w:val="2"/>
          <w:sz w:val="32"/>
          <w:szCs w:val="32"/>
          <w:highlight w:val="none"/>
          <w:lang w:val="en-US" w:eastAsia="zh-CN"/>
        </w:rPr>
      </w:pPr>
      <w:r>
        <w:rPr>
          <w:rFonts w:hint="default" w:ascii="Times New Roman" w:hAnsi="Times New Roman" w:eastAsia="仿宋_GB2312" w:cs="仿宋"/>
          <w:b w:val="0"/>
          <w:bCs/>
          <w:kern w:val="2"/>
          <w:sz w:val="32"/>
          <w:szCs w:val="32"/>
          <w:highlight w:val="none"/>
          <w:lang w:val="en-US" w:eastAsia="zh-CN"/>
        </w:rPr>
        <w:t>本项目不接受联合体竞标或分标段投标。投标人应如实提供资质信息及随附证明文件，不得弄虚作假，提供虚假资质信息或虚假的随附证明文件一经查实，取消本项目投标资格，同时三年内不得参加招标人其他项目招标或采购。</w:t>
      </w:r>
    </w:p>
    <w:p w14:paraId="1EFEF508">
      <w:pPr>
        <w:pStyle w:val="4"/>
        <w:pageBreakBefore w:val="0"/>
        <w:kinsoku/>
        <w:wordWrap/>
        <w:overflowPunct/>
        <w:topLinePunct w:val="0"/>
        <w:autoSpaceDE/>
        <w:autoSpaceDN/>
        <w:bidi w:val="0"/>
        <w:spacing w:before="0" w:after="0" w:line="560" w:lineRule="exact"/>
        <w:ind w:left="0" w:leftChars="0" w:firstLine="560"/>
        <w:textAlignment w:val="auto"/>
        <w:rPr>
          <w:rFonts w:hint="eastAsia" w:ascii="黑体" w:hAnsi="黑体" w:eastAsia="黑体" w:cs="黑体"/>
          <w:b w:val="0"/>
          <w:bCs/>
          <w:sz w:val="32"/>
          <w:szCs w:val="32"/>
          <w:highlight w:val="none"/>
          <w:lang w:val="zh-CN"/>
        </w:rPr>
      </w:pPr>
      <w:bookmarkStart w:id="21" w:name="_Toc7457"/>
      <w:r>
        <w:rPr>
          <w:rFonts w:hint="eastAsia" w:ascii="黑体" w:hAnsi="黑体" w:eastAsia="黑体" w:cs="黑体"/>
          <w:b w:val="0"/>
          <w:bCs/>
          <w:sz w:val="32"/>
          <w:szCs w:val="32"/>
          <w:highlight w:val="none"/>
          <w:lang w:val="zh-CN"/>
        </w:rPr>
        <w:t>四、项目内容、服务需求及期限</w:t>
      </w:r>
      <w:bookmarkEnd w:id="21"/>
    </w:p>
    <w:p w14:paraId="5AA8129D">
      <w:pPr>
        <w:pageBreakBefore w:val="0"/>
        <w:widowControl/>
        <w:kinsoku/>
        <w:wordWrap/>
        <w:overflowPunct/>
        <w:topLinePunct w:val="0"/>
        <w:autoSpaceDE/>
        <w:autoSpaceDN/>
        <w:bidi w:val="0"/>
        <w:snapToGrid w:val="0"/>
        <w:spacing w:line="560" w:lineRule="exact"/>
        <w:ind w:left="0" w:leftChars="0" w:firstLine="640" w:firstLineChars="200"/>
        <w:jc w:val="left"/>
        <w:textAlignment w:val="auto"/>
        <w:rPr>
          <w:rFonts w:hint="eastAsia" w:ascii="楷体_GB2312" w:hAnsi="楷体_GB2312" w:eastAsia="楷体_GB2312" w:cs="楷体_GB2312"/>
          <w:b w:val="0"/>
          <w:bCs/>
          <w:sz w:val="32"/>
          <w:szCs w:val="32"/>
          <w:highlight w:val="none"/>
        </w:rPr>
      </w:pPr>
      <w:bookmarkStart w:id="22" w:name="_Toc15949_WPSOffice_Level2"/>
      <w:r>
        <w:rPr>
          <w:rFonts w:hint="eastAsia" w:ascii="楷体_GB2312" w:hAnsi="楷体_GB2312" w:eastAsia="楷体_GB2312" w:cs="楷体_GB2312"/>
          <w:b w:val="0"/>
          <w:bCs/>
          <w:sz w:val="32"/>
          <w:szCs w:val="32"/>
          <w:highlight w:val="none"/>
        </w:rPr>
        <w:t>（一）项目内容</w:t>
      </w:r>
      <w:bookmarkEnd w:id="22"/>
    </w:p>
    <w:p w14:paraId="5D9A0B48">
      <w:pPr>
        <w:pageBreakBefore w:val="0"/>
        <w:widowControl/>
        <w:kinsoku/>
        <w:wordWrap/>
        <w:overflowPunct/>
        <w:topLinePunct w:val="0"/>
        <w:autoSpaceDE/>
        <w:autoSpaceDN/>
        <w:bidi w:val="0"/>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为招标人指定员工在招标人指定时间内提供健康体检服务，出具体检报告及健康管理建议。</w:t>
      </w:r>
    </w:p>
    <w:p w14:paraId="7CBF9BB6">
      <w:pPr>
        <w:pageBreakBefore w:val="0"/>
        <w:widowControl/>
        <w:kinsoku/>
        <w:wordWrap/>
        <w:overflowPunct/>
        <w:topLinePunct w:val="0"/>
        <w:autoSpaceDE/>
        <w:autoSpaceDN/>
        <w:bidi w:val="0"/>
        <w:snapToGrid w:val="0"/>
        <w:spacing w:line="560" w:lineRule="exact"/>
        <w:ind w:left="0" w:leftChars="0" w:firstLine="640" w:firstLineChars="200"/>
        <w:jc w:val="left"/>
        <w:textAlignment w:val="auto"/>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二）</w:t>
      </w:r>
      <w:r>
        <w:rPr>
          <w:rFonts w:hint="eastAsia" w:ascii="楷体_GB2312" w:hAnsi="楷体_GB2312" w:eastAsia="楷体_GB2312" w:cs="楷体_GB2312"/>
          <w:b w:val="0"/>
          <w:bCs/>
          <w:sz w:val="32"/>
          <w:szCs w:val="32"/>
          <w:highlight w:val="none"/>
        </w:rPr>
        <w:t>项目需求</w:t>
      </w:r>
    </w:p>
    <w:p w14:paraId="41E65760">
      <w:pPr>
        <w:pageBreakBefore w:val="0"/>
        <w:widowControl/>
        <w:kinsoku/>
        <w:wordWrap/>
        <w:overflowPunct/>
        <w:topLinePunct w:val="0"/>
        <w:autoSpaceDE/>
        <w:autoSpaceDN/>
        <w:bidi w:val="0"/>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eastAsia="仿宋_GB2312" w:cs="仿宋_GB2312"/>
          <w:b w:val="0"/>
          <w:bCs/>
          <w:sz w:val="32"/>
          <w:szCs w:val="32"/>
          <w:highlight w:val="none"/>
          <w:lang w:eastAsia="zh-CN"/>
        </w:rPr>
        <w:t>投标人应为招标人员工提供便利的线上、线下体检预约渠道，同时设置合理体检服务期限，在招标人员工集中预约的体检高峰期内预留企业专用通道，同时为逾期未能参加综合专场体检服务的员工提供灵活、机动、合理的体检服务补检。</w:t>
      </w:r>
    </w:p>
    <w:p w14:paraId="7417D99B">
      <w:pPr>
        <w:pageBreakBefore w:val="0"/>
        <w:widowControl/>
        <w:kinsoku/>
        <w:wordWrap/>
        <w:overflowPunct/>
        <w:topLinePunct w:val="0"/>
        <w:autoSpaceDE/>
        <w:autoSpaceDN/>
        <w:bidi w:val="0"/>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highlight w:val="none"/>
          <w:lang w:val="en-US" w:eastAsia="zh-CN"/>
        </w:rPr>
        <w:t>2</w:t>
      </w:r>
      <w:r>
        <w:rPr>
          <w:rFonts w:hint="eastAsia" w:ascii="仿宋_GB2312" w:hAnsi="仿宋_GB2312" w:eastAsia="仿宋_GB2312" w:cs="仿宋_GB2312"/>
          <w:b w:val="0"/>
          <w:bCs/>
          <w:sz w:val="32"/>
          <w:szCs w:val="32"/>
          <w:highlight w:val="none"/>
          <w:lang w:eastAsia="zh-CN"/>
        </w:rPr>
        <w:t>.投标人应为招标人员工提供至少包含以下内容的随附服务：</w:t>
      </w:r>
    </w:p>
    <w:p w14:paraId="11881642">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（1）个人纸质及电子版体检报告以及基于体检结果的个人健康咨询解读。</w:t>
      </w:r>
    </w:p>
    <w:p w14:paraId="7B42765F">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（2）体检当日营养早餐。</w:t>
      </w:r>
    </w:p>
    <w:p w14:paraId="084FF805">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（3）疑似肿瘤、癌症，重度心血管疾病，血液、血压、尿酸指标中度以上异常重大阳性结果或复查提示通知。</w:t>
      </w:r>
    </w:p>
    <w:p w14:paraId="57121C46">
      <w:pPr>
        <w:pageBreakBefore w:val="0"/>
        <w:widowControl/>
        <w:kinsoku/>
        <w:wordWrap/>
        <w:overflowPunct/>
        <w:topLinePunct w:val="0"/>
        <w:autoSpaceDE/>
        <w:autoSpaceDN/>
        <w:bidi w:val="0"/>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3.投标人应为招标人提供员工团体体检汇总报告。</w:t>
      </w:r>
    </w:p>
    <w:p w14:paraId="5F234F32">
      <w:pPr>
        <w:pageBreakBefore w:val="0"/>
        <w:widowControl/>
        <w:kinsoku/>
        <w:wordWrap/>
        <w:overflowPunct/>
        <w:topLinePunct w:val="0"/>
        <w:autoSpaceDE/>
        <w:autoSpaceDN/>
        <w:bidi w:val="0"/>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4.在满足以上服务需求的同时，投标人需根据招标文件所示限价情况，根据招标公告</w:t>
      </w:r>
      <w:r>
        <w:rPr>
          <w:rFonts w:hint="eastAsia" w:ascii="Times New Roman" w:hAnsi="Times New Roman" w:eastAsia="仿宋_GB2312" w:cs="仿宋_GB2312"/>
          <w:b w:val="0"/>
          <w:bCs/>
          <w:sz w:val="32"/>
          <w:szCs w:val="32"/>
          <w:highlight w:val="none"/>
          <w:lang w:val="en-US" w:eastAsia="zh-CN"/>
        </w:rPr>
        <w:t xml:space="preserve"> 附件3《深圳市鹏劳人力资源管理有限公司2025年度员工健康体检项目（二次）体检方案及报价表》</w:t>
      </w:r>
      <w:r>
        <w:rPr>
          <w:rFonts w:hint="eastAsia" w:ascii="仿宋_GB2312" w:hAnsi="仿宋_GB2312" w:eastAsia="仿宋_GB2312" w:cs="仿宋_GB2312"/>
          <w:b w:val="0"/>
          <w:bCs/>
          <w:sz w:val="32"/>
          <w:szCs w:val="32"/>
          <w:highlight w:val="none"/>
          <w:lang w:val="en-US" w:eastAsia="zh-CN"/>
        </w:rPr>
        <w:t>所示体检项目基础上自行增加体检科目或提出更优方案并按该表格式出具报价，不得减少基准项目或降低标准，低于报价表所示体检标准的报价文件视为投标无效。</w:t>
      </w:r>
    </w:p>
    <w:p w14:paraId="0D4E9942">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（三）项目期限</w:t>
      </w:r>
    </w:p>
    <w:p w14:paraId="4A7BADF5">
      <w:pPr>
        <w:pageBreakBefore w:val="0"/>
        <w:widowControl/>
        <w:kinsoku/>
        <w:wordWrap/>
        <w:overflowPunct/>
        <w:topLinePunct w:val="0"/>
        <w:autoSpaceDE/>
        <w:autoSpaceDN/>
        <w:bidi w:val="0"/>
        <w:snapToGrid w:val="0"/>
        <w:spacing w:line="560" w:lineRule="exact"/>
        <w:ind w:left="0" w:leftChars="0" w:firstLine="617" w:firstLineChars="193"/>
        <w:jc w:val="left"/>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highlight w:val="none"/>
        </w:rPr>
        <w:t>本项目期限为订立合同之日起至招标人指定</w:t>
      </w:r>
      <w:r>
        <w:rPr>
          <w:rFonts w:hint="eastAsia" w:ascii="仿宋_GB2312" w:hAnsi="仿宋_GB2312" w:eastAsia="仿宋_GB2312" w:cs="仿宋_GB2312"/>
          <w:b w:val="0"/>
          <w:bCs/>
          <w:sz w:val="32"/>
          <w:szCs w:val="32"/>
          <w:highlight w:val="none"/>
          <w:lang w:eastAsia="zh-CN"/>
        </w:rPr>
        <w:t>员工</w:t>
      </w:r>
      <w:r>
        <w:rPr>
          <w:rFonts w:hint="eastAsia" w:ascii="仿宋_GB2312" w:hAnsi="仿宋_GB2312" w:eastAsia="仿宋_GB2312" w:cs="仿宋_GB2312"/>
          <w:b w:val="0"/>
          <w:bCs/>
          <w:sz w:val="32"/>
          <w:szCs w:val="32"/>
          <w:highlight w:val="none"/>
        </w:rPr>
        <w:t>年度</w:t>
      </w:r>
      <w:r>
        <w:rPr>
          <w:rFonts w:hint="eastAsia" w:ascii="仿宋_GB2312" w:hAnsi="仿宋_GB2312" w:eastAsia="仿宋_GB2312" w:cs="仿宋_GB2312"/>
          <w:b w:val="0"/>
          <w:bCs/>
          <w:sz w:val="32"/>
          <w:szCs w:val="32"/>
          <w:highlight w:val="none"/>
          <w:lang w:eastAsia="zh-CN"/>
        </w:rPr>
        <w:t>健康</w:t>
      </w:r>
      <w:r>
        <w:rPr>
          <w:rFonts w:hint="eastAsia" w:ascii="仿宋_GB2312" w:hAnsi="仿宋_GB2312" w:eastAsia="仿宋_GB2312" w:cs="仿宋_GB2312"/>
          <w:b w:val="0"/>
          <w:bCs/>
          <w:sz w:val="32"/>
          <w:szCs w:val="32"/>
          <w:highlight w:val="none"/>
        </w:rPr>
        <w:t>体检全部完成</w:t>
      </w:r>
      <w:r>
        <w:rPr>
          <w:rFonts w:hint="eastAsia" w:ascii="仿宋_GB2312" w:hAnsi="仿宋_GB2312" w:eastAsia="仿宋_GB2312" w:cs="仿宋_GB2312"/>
          <w:b w:val="0"/>
          <w:bCs/>
          <w:sz w:val="32"/>
          <w:szCs w:val="32"/>
          <w:highlight w:val="none"/>
          <w:lang w:eastAsia="zh-CN"/>
        </w:rPr>
        <w:t>，招标人员工自行放弃体检的情况除外。</w:t>
      </w:r>
    </w:p>
    <w:p w14:paraId="39E64AAE">
      <w:pPr>
        <w:pStyle w:val="4"/>
        <w:pageBreakBefore w:val="0"/>
        <w:kinsoku/>
        <w:wordWrap/>
        <w:overflowPunct/>
        <w:topLinePunct w:val="0"/>
        <w:autoSpaceDE/>
        <w:autoSpaceDN/>
        <w:bidi w:val="0"/>
        <w:spacing w:before="0" w:after="0" w:line="560" w:lineRule="exact"/>
        <w:ind w:left="0" w:leftChars="0" w:firstLine="560"/>
        <w:textAlignment w:val="auto"/>
        <w:rPr>
          <w:rFonts w:hint="eastAsia" w:ascii="黑体" w:hAnsi="黑体" w:eastAsia="黑体" w:cs="黑体"/>
          <w:b w:val="0"/>
          <w:bCs/>
          <w:sz w:val="32"/>
          <w:szCs w:val="32"/>
          <w:highlight w:val="none"/>
          <w:lang w:eastAsia="zh-CN"/>
        </w:rPr>
      </w:pPr>
      <w:bookmarkStart w:id="23" w:name="_Toc2681"/>
      <w:r>
        <w:rPr>
          <w:rFonts w:hint="eastAsia" w:ascii="黑体" w:hAnsi="黑体" w:eastAsia="黑体" w:cs="黑体"/>
          <w:b w:val="0"/>
          <w:bCs/>
          <w:sz w:val="32"/>
          <w:szCs w:val="32"/>
          <w:highlight w:val="none"/>
        </w:rPr>
        <w:t>五、项目总限价</w:t>
      </w:r>
      <w:r>
        <w:rPr>
          <w:rFonts w:hint="eastAsia" w:ascii="黑体" w:hAnsi="黑体" w:eastAsia="黑体" w:cs="黑体"/>
          <w:b w:val="0"/>
          <w:bCs/>
          <w:sz w:val="32"/>
          <w:szCs w:val="32"/>
          <w:highlight w:val="none"/>
          <w:lang w:eastAsia="zh-CN"/>
        </w:rPr>
        <w:t>及预估体检人数</w:t>
      </w:r>
      <w:bookmarkEnd w:id="23"/>
    </w:p>
    <w:p w14:paraId="41BF45C3">
      <w:pPr>
        <w:pageBreakBefore w:val="0"/>
        <w:widowControl/>
        <w:kinsoku/>
        <w:wordWrap/>
        <w:overflowPunct/>
        <w:topLinePunct w:val="0"/>
        <w:autoSpaceDE/>
        <w:autoSpaceDN/>
        <w:bidi w:val="0"/>
        <w:snapToGrid w:val="0"/>
        <w:spacing w:line="560" w:lineRule="exact"/>
        <w:ind w:left="0" w:leftChars="0" w:firstLine="640" w:firstLineChars="200"/>
        <w:jc w:val="left"/>
        <w:textAlignment w:val="auto"/>
        <w:rPr>
          <w:rFonts w:hint="eastAsia" w:ascii="Times New Roman" w:hAnsi="Times New Roman" w:eastAsia="仿宋_GB2312" w:cs="仿宋"/>
          <w:b w:val="0"/>
          <w:bCs/>
          <w:sz w:val="32"/>
          <w:szCs w:val="32"/>
          <w:highlight w:val="none"/>
          <w:lang w:eastAsia="zh-CN"/>
        </w:rPr>
      </w:pPr>
      <w:r>
        <w:rPr>
          <w:rFonts w:hint="eastAsia" w:ascii="仿宋_GB2312" w:hAnsi="仿宋_GB2312" w:eastAsia="仿宋_GB2312" w:cs="仿宋_GB2312"/>
          <w:b w:val="0"/>
          <w:bCs/>
          <w:sz w:val="32"/>
          <w:szCs w:val="32"/>
          <w:highlight w:val="none"/>
        </w:rPr>
        <w:t>1.本</w:t>
      </w:r>
      <w:r>
        <w:rPr>
          <w:rFonts w:hint="eastAsia" w:ascii="Times New Roman" w:hAnsi="Times New Roman" w:eastAsia="仿宋_GB2312" w:cs="仿宋"/>
          <w:b w:val="0"/>
          <w:bCs/>
          <w:sz w:val="32"/>
          <w:szCs w:val="32"/>
          <w:highlight w:val="none"/>
        </w:rPr>
        <w:t>项目总限价为人民币</w:t>
      </w:r>
      <w:r>
        <w:rPr>
          <w:rFonts w:hint="eastAsia" w:ascii="Times New Roman" w:hAnsi="Times New Roman" w:eastAsia="仿宋_GB2312" w:cs="仿宋"/>
          <w:b w:val="0"/>
          <w:bCs/>
          <w:sz w:val="32"/>
          <w:szCs w:val="32"/>
          <w:highlight w:val="none"/>
          <w:lang w:val="en-US" w:eastAsia="zh-CN"/>
        </w:rPr>
        <w:t>377500</w:t>
      </w:r>
      <w:r>
        <w:rPr>
          <w:rFonts w:hint="eastAsia" w:ascii="Times New Roman" w:hAnsi="Times New Roman" w:eastAsia="仿宋_GB2312" w:cs="仿宋"/>
          <w:b w:val="0"/>
          <w:bCs/>
          <w:sz w:val="32"/>
          <w:szCs w:val="32"/>
          <w:highlight w:val="none"/>
        </w:rPr>
        <w:t>元</w:t>
      </w:r>
      <w:r>
        <w:rPr>
          <w:rFonts w:hint="eastAsia" w:ascii="Times New Roman" w:hAnsi="Times New Roman" w:eastAsia="仿宋_GB2312" w:cs="仿宋"/>
          <w:b w:val="0"/>
          <w:bCs/>
          <w:sz w:val="32"/>
          <w:szCs w:val="32"/>
          <w:highlight w:val="none"/>
          <w:lang w:eastAsia="zh-CN"/>
        </w:rPr>
        <w:t>（</w:t>
      </w:r>
      <w:r>
        <w:rPr>
          <w:rFonts w:hint="eastAsia" w:ascii="Times New Roman" w:hAnsi="Times New Roman" w:eastAsia="仿宋_GB2312" w:cs="仿宋"/>
          <w:b w:val="0"/>
          <w:bCs/>
          <w:sz w:val="32"/>
          <w:szCs w:val="32"/>
          <w:highlight w:val="none"/>
          <w:lang w:val="en-US" w:eastAsia="zh-CN"/>
        </w:rPr>
        <w:t>含增值税）</w:t>
      </w:r>
      <w:r>
        <w:rPr>
          <w:rFonts w:hint="eastAsia" w:ascii="Times New Roman" w:hAnsi="Times New Roman" w:eastAsia="仿宋_GB2312" w:cs="仿宋"/>
          <w:b w:val="0"/>
          <w:bCs/>
          <w:sz w:val="32"/>
          <w:szCs w:val="32"/>
          <w:highlight w:val="none"/>
          <w:lang w:eastAsia="zh-CN"/>
        </w:rPr>
        <w:t>。</w:t>
      </w:r>
    </w:p>
    <w:p w14:paraId="0C6E5C06">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2.本项目预估体检人数约为</w:t>
      </w:r>
      <w:r>
        <w:rPr>
          <w:rFonts w:hint="eastAsia" w:ascii="Times New Roman" w:hAnsi="Times New Roman" w:eastAsia="仿宋_GB2312" w:cs="仿宋"/>
          <w:b w:val="0"/>
          <w:bCs/>
          <w:sz w:val="32"/>
          <w:szCs w:val="32"/>
          <w:highlight w:val="none"/>
          <w:lang w:val="en-US" w:eastAsia="zh-CN"/>
        </w:rPr>
        <w:t>146人</w:t>
      </w:r>
      <w:r>
        <w:rPr>
          <w:rFonts w:hint="eastAsia" w:ascii="仿宋_GB2312" w:hAnsi="仿宋_GB2312" w:eastAsia="仿宋_GB2312" w:cs="仿宋_GB2312"/>
          <w:b w:val="0"/>
          <w:bCs/>
          <w:sz w:val="32"/>
          <w:szCs w:val="32"/>
          <w:highlight w:val="none"/>
          <w:lang w:val="en-US" w:eastAsia="zh-CN"/>
        </w:rPr>
        <w:t>，该数据仅作为投标人投标的参照</w:t>
      </w:r>
      <w:r>
        <w:rPr>
          <w:rFonts w:hint="eastAsia" w:ascii="Times New Roman" w:hAnsi="Times New Roman" w:eastAsia="仿宋_GB2312" w:cs="仿宋"/>
          <w:b w:val="0"/>
          <w:bCs/>
          <w:sz w:val="32"/>
          <w:szCs w:val="32"/>
          <w:highlight w:val="none"/>
          <w:lang w:val="en-US" w:eastAsia="zh-CN"/>
        </w:rPr>
        <w:t>因素，不作为招标人对中标人的合同承诺，实际到检人数根据投标人员工个人意愿、身体状况及其他客观因素影响可能存在变化。</w:t>
      </w:r>
    </w:p>
    <w:p w14:paraId="522B89E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仿宋_GB2312" w:cs="仿宋"/>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3.</w:t>
      </w:r>
      <w:r>
        <w:rPr>
          <w:rFonts w:hint="eastAsia" w:ascii="Times New Roman" w:hAnsi="Times New Roman" w:eastAsia="仿宋_GB2312" w:cs="仿宋"/>
          <w:b w:val="0"/>
          <w:bCs/>
          <w:sz w:val="32"/>
          <w:szCs w:val="32"/>
          <w:highlight w:val="none"/>
          <w:lang w:val="en-US" w:eastAsia="zh-CN"/>
        </w:rPr>
        <w:t>本项目按照实际参加体检人员实际选择实施的体检项目据实收费，对本项目的响应视同投标人对本需求做出承诺。</w:t>
      </w:r>
    </w:p>
    <w:p w14:paraId="3D6CDE31">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投标人应于报价文件中明确列示各</w:t>
      </w:r>
      <w:r>
        <w:rPr>
          <w:rFonts w:hint="eastAsia" w:ascii="Times New Roman" w:hAnsi="Times New Roman" w:eastAsia="仿宋_GB2312" w:cs="仿宋"/>
          <w:b w:val="0"/>
          <w:bCs/>
          <w:sz w:val="32"/>
          <w:szCs w:val="32"/>
          <w:highlight w:val="none"/>
          <w:lang w:eastAsia="zh-CN"/>
        </w:rPr>
        <w:t>体检项目</w:t>
      </w:r>
      <w:r>
        <w:rPr>
          <w:rFonts w:hint="eastAsia" w:ascii="Times New Roman" w:hAnsi="Times New Roman" w:eastAsia="仿宋_GB2312" w:cs="仿宋"/>
          <w:b w:val="0"/>
          <w:bCs/>
          <w:sz w:val="32"/>
          <w:szCs w:val="32"/>
          <w:highlight w:val="none"/>
        </w:rPr>
        <w:t>单价</w:t>
      </w:r>
      <w:r>
        <w:rPr>
          <w:rFonts w:hint="eastAsia" w:ascii="Times New Roman" w:hAnsi="Times New Roman" w:eastAsia="仿宋_GB2312" w:cs="仿宋"/>
          <w:b w:val="0"/>
          <w:bCs/>
          <w:sz w:val="32"/>
          <w:szCs w:val="32"/>
          <w:highlight w:val="none"/>
          <w:lang w:eastAsia="zh-CN"/>
        </w:rPr>
        <w:t>，并根据预估人数计算得出</w:t>
      </w:r>
      <w:r>
        <w:rPr>
          <w:rFonts w:hint="eastAsia" w:ascii="Times New Roman" w:hAnsi="Times New Roman" w:eastAsia="仿宋_GB2312" w:cs="仿宋"/>
          <w:b w:val="0"/>
          <w:bCs/>
          <w:sz w:val="32"/>
          <w:szCs w:val="32"/>
          <w:highlight w:val="none"/>
        </w:rPr>
        <w:t>项目总价，总价超出</w:t>
      </w:r>
      <w:r>
        <w:rPr>
          <w:rFonts w:hint="eastAsia" w:ascii="Times New Roman" w:hAnsi="Times New Roman" w:eastAsia="仿宋_GB2312" w:cs="仿宋"/>
          <w:b w:val="0"/>
          <w:bCs/>
          <w:sz w:val="32"/>
          <w:szCs w:val="32"/>
          <w:highlight w:val="none"/>
          <w:lang w:eastAsia="zh-CN"/>
        </w:rPr>
        <w:t>项目总限价金额将导致投标无效</w:t>
      </w:r>
      <w:r>
        <w:rPr>
          <w:rFonts w:hint="eastAsia" w:ascii="Times New Roman" w:hAnsi="Times New Roman" w:eastAsia="仿宋_GB2312" w:cs="仿宋"/>
          <w:b w:val="0"/>
          <w:bCs/>
          <w:sz w:val="32"/>
          <w:szCs w:val="32"/>
          <w:highlight w:val="none"/>
        </w:rPr>
        <w:t>。</w:t>
      </w:r>
    </w:p>
    <w:p w14:paraId="2593758F">
      <w:pPr>
        <w:pStyle w:val="4"/>
        <w:keepNext w:val="0"/>
        <w:keepLines w:val="0"/>
        <w:pageBreakBefore w:val="0"/>
        <w:widowControl w:val="0"/>
        <w:kinsoku/>
        <w:wordWrap/>
        <w:overflowPunct/>
        <w:topLinePunct w:val="0"/>
        <w:autoSpaceDE/>
        <w:autoSpaceDN/>
        <w:bidi w:val="0"/>
        <w:adjustRightInd/>
        <w:spacing w:before="0" w:after="0" w:line="560" w:lineRule="exact"/>
        <w:ind w:left="0" w:leftChars="0" w:firstLine="640" w:firstLineChars="200"/>
        <w:textAlignment w:val="auto"/>
        <w:rPr>
          <w:rFonts w:hint="eastAsia" w:ascii="黑体" w:hAnsi="黑体" w:eastAsia="黑体" w:cs="黑体"/>
          <w:b w:val="0"/>
          <w:bCs/>
          <w:sz w:val="32"/>
          <w:szCs w:val="32"/>
          <w:highlight w:val="none"/>
        </w:rPr>
      </w:pPr>
      <w:bookmarkStart w:id="24" w:name="_Toc7508"/>
      <w:r>
        <w:rPr>
          <w:rFonts w:hint="eastAsia" w:ascii="黑体" w:hAnsi="黑体" w:eastAsia="黑体" w:cs="黑体"/>
          <w:b w:val="0"/>
          <w:bCs/>
          <w:sz w:val="32"/>
          <w:szCs w:val="32"/>
          <w:highlight w:val="none"/>
        </w:rPr>
        <w:t>六、投标文件要求</w:t>
      </w:r>
      <w:bookmarkEnd w:id="24"/>
    </w:p>
    <w:p w14:paraId="7BFE697C">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（一）投标文件构成</w:t>
      </w:r>
    </w:p>
    <w:p w14:paraId="64276DB1">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jc w:val="left"/>
        <w:textAlignment w:val="auto"/>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1.唱标信封及开标一览表</w:t>
      </w:r>
    </w:p>
    <w:p w14:paraId="0CCF9AF2">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1</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唱标信封</w:t>
      </w:r>
    </w:p>
    <w:p w14:paraId="5F115C3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用以密封开标一览表，信封格式见“招标文件 第四章 投标文件格式 格式1 唱标信封”；</w:t>
      </w:r>
    </w:p>
    <w:p w14:paraId="2F527F74">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2</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开标一览表</w:t>
      </w:r>
    </w:p>
    <w:p w14:paraId="48522462">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用唱标信封单独封装，与投标文件一并递交，一览表指定格式见“第四章 投标文件格式 格式2 开标一览表”。</w:t>
      </w:r>
    </w:p>
    <w:p w14:paraId="43468DB1">
      <w:pPr>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jc w:val="left"/>
        <w:textAlignment w:val="auto"/>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2.投标文件</w:t>
      </w:r>
    </w:p>
    <w:p w14:paraId="40D48A6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1</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资质证明文件</w:t>
      </w:r>
    </w:p>
    <w:p w14:paraId="0A82EA0B">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投标人资质证明文件应按以下顺序排序：</w:t>
      </w:r>
    </w:p>
    <w:p w14:paraId="5563BAD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eastAsia="仿宋_GB2312" w:cs="仿宋_GB2312"/>
          <w:b w:val="0"/>
          <w:bCs/>
          <w:sz w:val="32"/>
          <w:szCs w:val="32"/>
          <w:highlight w:val="none"/>
          <w:lang w:eastAsia="zh-CN"/>
        </w:rPr>
        <w:t>事业单位法人证书</w:t>
      </w:r>
      <w:r>
        <w:rPr>
          <w:rFonts w:hint="eastAsia" w:ascii="仿宋_GB2312" w:hAnsi="仿宋_GB2312" w:eastAsia="仿宋_GB2312" w:cs="仿宋_GB2312"/>
          <w:b w:val="0"/>
          <w:bCs/>
          <w:sz w:val="32"/>
          <w:szCs w:val="32"/>
          <w:highlight w:val="none"/>
        </w:rPr>
        <w:t>（加盖公章）</w:t>
      </w:r>
    </w:p>
    <w:p w14:paraId="7058904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2）</w:t>
      </w:r>
      <w:r>
        <w:rPr>
          <w:rFonts w:hint="eastAsia" w:ascii="仿宋_GB2312" w:hAnsi="仿宋_GB2312" w:eastAsia="仿宋_GB2312" w:cs="仿宋_GB2312"/>
          <w:b w:val="0"/>
          <w:bCs/>
          <w:sz w:val="32"/>
          <w:szCs w:val="32"/>
          <w:highlight w:val="none"/>
        </w:rPr>
        <w:t>中华人民共和国医疗经营许可证</w:t>
      </w:r>
    </w:p>
    <w:p w14:paraId="61CF6960">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3）</w:t>
      </w:r>
      <w:r>
        <w:rPr>
          <w:rFonts w:hint="eastAsia" w:ascii="仿宋_GB2312" w:hAnsi="仿宋_GB2312" w:eastAsia="仿宋_GB2312" w:cs="仿宋_GB2312"/>
          <w:b w:val="0"/>
          <w:bCs/>
          <w:sz w:val="32"/>
          <w:szCs w:val="32"/>
          <w:highlight w:val="none"/>
          <w:lang w:eastAsia="zh-CN"/>
        </w:rPr>
        <w:t>三级甲等医院资质证明</w:t>
      </w:r>
    </w:p>
    <w:p w14:paraId="7AA2C59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4）法定代表人身份证明书</w:t>
      </w:r>
      <w:r>
        <w:rPr>
          <w:rFonts w:hint="eastAsia" w:ascii="仿宋_GB2312" w:hAnsi="仿宋_GB2312" w:eastAsia="仿宋_GB2312" w:cs="仿宋_GB2312"/>
          <w:b w:val="0"/>
          <w:bCs/>
          <w:sz w:val="32"/>
          <w:szCs w:val="32"/>
          <w:highlight w:val="none"/>
        </w:rPr>
        <w:t>（加盖公章）</w:t>
      </w:r>
    </w:p>
    <w:p w14:paraId="6BDE0DA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5）</w:t>
      </w:r>
      <w:r>
        <w:rPr>
          <w:rFonts w:hint="eastAsia" w:ascii="仿宋_GB2312" w:hAnsi="仿宋_GB2312" w:eastAsia="仿宋_GB2312" w:cs="仿宋_GB2312"/>
          <w:b w:val="0"/>
          <w:bCs/>
          <w:sz w:val="32"/>
          <w:szCs w:val="32"/>
          <w:highlight w:val="none"/>
        </w:rPr>
        <w:t>法</w:t>
      </w:r>
      <w:r>
        <w:rPr>
          <w:rFonts w:hint="eastAsia" w:ascii="仿宋_GB2312" w:hAnsi="仿宋_GB2312" w:eastAsia="仿宋_GB2312" w:cs="仿宋_GB2312"/>
          <w:b w:val="0"/>
          <w:bCs/>
          <w:sz w:val="32"/>
          <w:szCs w:val="32"/>
          <w:highlight w:val="none"/>
          <w:lang w:val="en-US" w:eastAsia="zh-CN"/>
        </w:rPr>
        <w:t>定代表</w:t>
      </w:r>
      <w:r>
        <w:rPr>
          <w:rFonts w:hint="eastAsia" w:ascii="仿宋_GB2312" w:hAnsi="仿宋_GB2312" w:eastAsia="仿宋_GB2312" w:cs="仿宋_GB2312"/>
          <w:b w:val="0"/>
          <w:bCs/>
          <w:sz w:val="32"/>
          <w:szCs w:val="32"/>
          <w:highlight w:val="none"/>
        </w:rPr>
        <w:t>人授权委托书（加盖公章）</w:t>
      </w:r>
    </w:p>
    <w:p w14:paraId="3753B6CA">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_GB2312"/>
          <w:b w:val="0"/>
          <w:bCs/>
          <w:sz w:val="32"/>
          <w:szCs w:val="32"/>
          <w:highlight w:val="none"/>
        </w:rPr>
      </w:pPr>
      <w:r>
        <w:rPr>
          <w:rFonts w:hint="eastAsia" w:ascii="Times New Roman" w:hAnsi="Times New Roman" w:eastAsia="仿宋_GB2312" w:cs="仿宋_GB2312"/>
          <w:b w:val="0"/>
          <w:bCs/>
          <w:sz w:val="32"/>
          <w:szCs w:val="32"/>
          <w:highlight w:val="none"/>
          <w:lang w:eastAsia="zh-CN"/>
        </w:rPr>
        <w:t>（</w:t>
      </w:r>
      <w:r>
        <w:rPr>
          <w:rFonts w:hint="eastAsia" w:ascii="Times New Roman" w:hAnsi="Times New Roman" w:eastAsia="仿宋_GB2312" w:cs="仿宋_GB2312"/>
          <w:b w:val="0"/>
          <w:bCs/>
          <w:sz w:val="32"/>
          <w:szCs w:val="32"/>
          <w:highlight w:val="none"/>
        </w:rPr>
        <w:t>2</w:t>
      </w:r>
      <w:r>
        <w:rPr>
          <w:rFonts w:hint="eastAsia" w:ascii="Times New Roman" w:hAnsi="Times New Roman" w:eastAsia="仿宋_GB2312" w:cs="仿宋_GB2312"/>
          <w:b w:val="0"/>
          <w:bCs/>
          <w:sz w:val="32"/>
          <w:szCs w:val="32"/>
          <w:highlight w:val="none"/>
          <w:lang w:eastAsia="zh-CN"/>
        </w:rPr>
        <w:t>）</w:t>
      </w:r>
      <w:r>
        <w:rPr>
          <w:rFonts w:hint="eastAsia" w:ascii="Times New Roman" w:hAnsi="Times New Roman" w:eastAsia="仿宋_GB2312" w:cs="仿宋_GB2312"/>
          <w:b w:val="0"/>
          <w:bCs/>
          <w:sz w:val="32"/>
          <w:szCs w:val="32"/>
          <w:highlight w:val="none"/>
        </w:rPr>
        <w:t>价格文件</w:t>
      </w:r>
    </w:p>
    <w:p w14:paraId="327D13D8">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格式参见本文件“</w:t>
      </w:r>
      <w:r>
        <w:rPr>
          <w:rFonts w:hint="eastAsia" w:ascii="Times New Roman" w:hAnsi="Times New Roman" w:eastAsia="仿宋_GB2312" w:cs="仿宋"/>
          <w:b w:val="0"/>
          <w:bCs/>
          <w:sz w:val="32"/>
          <w:szCs w:val="32"/>
          <w:highlight w:val="none"/>
          <w:lang w:eastAsia="zh-CN"/>
        </w:rPr>
        <w:t>招标文件</w:t>
      </w:r>
      <w:r>
        <w:rPr>
          <w:rFonts w:hint="eastAsia" w:ascii="Times New Roman" w:hAnsi="Times New Roman" w:eastAsia="仿宋_GB2312" w:cs="仿宋"/>
          <w:b w:val="0"/>
          <w:bCs/>
          <w:sz w:val="32"/>
          <w:szCs w:val="32"/>
          <w:highlight w:val="none"/>
        </w:rPr>
        <w:t xml:space="preserve"> 第四章 </w:t>
      </w:r>
      <w:r>
        <w:rPr>
          <w:rFonts w:hint="eastAsia" w:ascii="Times New Roman" w:hAnsi="Times New Roman" w:eastAsia="仿宋_GB2312" w:cs="仿宋"/>
          <w:b w:val="0"/>
          <w:bCs/>
          <w:sz w:val="32"/>
          <w:szCs w:val="32"/>
          <w:highlight w:val="none"/>
          <w:lang w:val="en-US" w:eastAsia="zh-CN"/>
        </w:rPr>
        <w:t>招标</w:t>
      </w:r>
      <w:r>
        <w:rPr>
          <w:rFonts w:hint="eastAsia" w:ascii="Times New Roman" w:hAnsi="Times New Roman" w:eastAsia="仿宋_GB2312" w:cs="仿宋"/>
          <w:b w:val="0"/>
          <w:bCs/>
          <w:sz w:val="32"/>
          <w:szCs w:val="32"/>
          <w:highlight w:val="none"/>
        </w:rPr>
        <w:t>文件格式 格式</w:t>
      </w:r>
      <w:r>
        <w:rPr>
          <w:rFonts w:hint="eastAsia" w:ascii="Times New Roman" w:hAnsi="Times New Roman" w:eastAsia="仿宋_GB2312" w:cs="仿宋"/>
          <w:b w:val="0"/>
          <w:bCs/>
          <w:sz w:val="32"/>
          <w:szCs w:val="32"/>
          <w:highlight w:val="none"/>
          <w:lang w:val="en-US" w:eastAsia="zh-CN"/>
        </w:rPr>
        <w:t>3</w:t>
      </w:r>
      <w:r>
        <w:rPr>
          <w:rFonts w:hint="eastAsia" w:ascii="Times New Roman" w:hAnsi="Times New Roman" w:eastAsia="仿宋_GB2312" w:cs="仿宋"/>
          <w:b w:val="0"/>
          <w:bCs/>
          <w:sz w:val="32"/>
          <w:szCs w:val="32"/>
          <w:highlight w:val="none"/>
        </w:rPr>
        <w:t xml:space="preserve"> </w:t>
      </w:r>
      <w:r>
        <w:rPr>
          <w:rFonts w:hint="eastAsia" w:ascii="Times New Roman" w:hAnsi="Times New Roman" w:eastAsia="仿宋_GB2312" w:cs="仿宋"/>
          <w:b w:val="0"/>
          <w:bCs/>
          <w:sz w:val="32"/>
          <w:szCs w:val="32"/>
          <w:highlight w:val="none"/>
          <w:lang w:eastAsia="zh-CN"/>
        </w:rPr>
        <w:t>体检方案及</w:t>
      </w:r>
      <w:r>
        <w:rPr>
          <w:rFonts w:hint="eastAsia" w:ascii="Times New Roman" w:hAnsi="Times New Roman" w:eastAsia="仿宋_GB2312" w:cs="仿宋"/>
          <w:b w:val="0"/>
          <w:bCs/>
          <w:sz w:val="32"/>
          <w:szCs w:val="32"/>
          <w:highlight w:val="none"/>
        </w:rPr>
        <w:t>报价表”。</w:t>
      </w:r>
    </w:p>
    <w:p w14:paraId="603DDC11">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lang w:eastAsia="zh-CN"/>
        </w:rPr>
        <w:t>（</w:t>
      </w:r>
      <w:r>
        <w:rPr>
          <w:rFonts w:hint="eastAsia" w:ascii="Times New Roman" w:hAnsi="Times New Roman" w:eastAsia="仿宋_GB2312" w:cs="仿宋"/>
          <w:b w:val="0"/>
          <w:bCs/>
          <w:sz w:val="32"/>
          <w:szCs w:val="32"/>
          <w:highlight w:val="none"/>
        </w:rPr>
        <w:t>3</w:t>
      </w:r>
      <w:r>
        <w:rPr>
          <w:rFonts w:hint="eastAsia" w:ascii="Times New Roman" w:hAnsi="Times New Roman" w:eastAsia="仿宋_GB2312" w:cs="仿宋"/>
          <w:b w:val="0"/>
          <w:bCs/>
          <w:sz w:val="32"/>
          <w:szCs w:val="32"/>
          <w:highlight w:val="none"/>
          <w:lang w:eastAsia="zh-CN"/>
        </w:rPr>
        <w:t>）</w:t>
      </w:r>
      <w:r>
        <w:rPr>
          <w:rFonts w:hint="eastAsia" w:ascii="Times New Roman" w:hAnsi="Times New Roman" w:eastAsia="仿宋_GB2312" w:cs="仿宋"/>
          <w:b w:val="0"/>
          <w:bCs/>
          <w:sz w:val="32"/>
          <w:szCs w:val="32"/>
          <w:highlight w:val="none"/>
        </w:rPr>
        <w:t>商务技术文件</w:t>
      </w:r>
    </w:p>
    <w:p w14:paraId="0BB59C8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1</w:t>
      </w:r>
      <w:r>
        <w:rPr>
          <w:rFonts w:hint="eastAsia" w:ascii="Times New Roman" w:hAnsi="Times New Roman" w:eastAsia="仿宋_GB2312" w:cs="仿宋"/>
          <w:b w:val="0"/>
          <w:bCs/>
          <w:sz w:val="32"/>
          <w:szCs w:val="32"/>
          <w:highlight w:val="none"/>
          <w:lang w:eastAsia="zh-CN"/>
        </w:rPr>
        <w:t>）</w:t>
      </w:r>
      <w:r>
        <w:rPr>
          <w:rFonts w:hint="eastAsia" w:ascii="Times New Roman" w:hAnsi="Times New Roman" w:eastAsia="仿宋_GB2312" w:cs="仿宋"/>
          <w:b w:val="0"/>
          <w:bCs/>
          <w:sz w:val="32"/>
          <w:szCs w:val="32"/>
          <w:highlight w:val="none"/>
        </w:rPr>
        <w:t>评标标准及细则内要求提供的证明文件（按“</w:t>
      </w:r>
      <w:r>
        <w:rPr>
          <w:rFonts w:hint="eastAsia" w:ascii="Times New Roman" w:hAnsi="Times New Roman" w:eastAsia="仿宋_GB2312" w:cs="仿宋"/>
          <w:b w:val="0"/>
          <w:bCs/>
          <w:sz w:val="32"/>
          <w:szCs w:val="32"/>
          <w:highlight w:val="none"/>
          <w:lang w:eastAsia="zh-CN"/>
        </w:rPr>
        <w:t>招标文件</w:t>
      </w:r>
      <w:r>
        <w:rPr>
          <w:rFonts w:hint="eastAsia" w:ascii="Times New Roman" w:hAnsi="Times New Roman" w:eastAsia="仿宋_GB2312" w:cs="仿宋"/>
          <w:b w:val="0"/>
          <w:bCs/>
          <w:sz w:val="32"/>
          <w:szCs w:val="32"/>
          <w:highlight w:val="none"/>
        </w:rPr>
        <w:t xml:space="preserve"> 第二章 评标程序及标准”内各评分项列示顺序排序并加盖公章）；</w:t>
      </w:r>
    </w:p>
    <w:p w14:paraId="6E1C7B8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2</w:t>
      </w:r>
      <w:r>
        <w:rPr>
          <w:rFonts w:hint="eastAsia" w:ascii="Times New Roman" w:hAnsi="Times New Roman" w:eastAsia="仿宋_GB2312" w:cs="仿宋"/>
          <w:b w:val="0"/>
          <w:bCs/>
          <w:sz w:val="32"/>
          <w:szCs w:val="32"/>
          <w:highlight w:val="none"/>
          <w:lang w:eastAsia="zh-CN"/>
        </w:rPr>
        <w:t>）</w:t>
      </w:r>
      <w:r>
        <w:rPr>
          <w:rFonts w:hint="eastAsia" w:ascii="Times New Roman" w:hAnsi="Times New Roman" w:eastAsia="仿宋_GB2312" w:cs="仿宋"/>
          <w:b w:val="0"/>
          <w:bCs/>
          <w:sz w:val="32"/>
          <w:szCs w:val="32"/>
          <w:highlight w:val="none"/>
        </w:rPr>
        <w:t>服务方案</w:t>
      </w:r>
    </w:p>
    <w:p w14:paraId="05C64261">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服务方案应包括以下内容：</w:t>
      </w:r>
    </w:p>
    <w:p w14:paraId="6BDDDC41">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①报</w:t>
      </w:r>
      <w:r>
        <w:rPr>
          <w:rFonts w:hint="eastAsia" w:ascii="Times New Roman" w:hAnsi="Times New Roman" w:eastAsia="仿宋_GB2312" w:cs="仿宋"/>
          <w:b w:val="0"/>
          <w:bCs/>
          <w:sz w:val="32"/>
          <w:szCs w:val="32"/>
          <w:highlight w:val="none"/>
        </w:rPr>
        <w:t>价表</w:t>
      </w:r>
      <w:r>
        <w:rPr>
          <w:rFonts w:hint="eastAsia" w:ascii="Times New Roman" w:hAnsi="Times New Roman" w:eastAsia="仿宋_GB2312" w:cs="仿宋"/>
          <w:b w:val="0"/>
          <w:bCs/>
          <w:sz w:val="32"/>
          <w:szCs w:val="32"/>
          <w:highlight w:val="none"/>
          <w:lang w:eastAsia="zh-CN"/>
        </w:rPr>
        <w:t>格式</w:t>
      </w:r>
      <w:r>
        <w:rPr>
          <w:rFonts w:hint="eastAsia" w:ascii="Times New Roman" w:hAnsi="Times New Roman" w:eastAsia="仿宋_GB2312" w:cs="仿宋"/>
          <w:b w:val="0"/>
          <w:bCs/>
          <w:sz w:val="32"/>
          <w:szCs w:val="32"/>
          <w:highlight w:val="none"/>
        </w:rPr>
        <w:t>体检项目清单，格式参见“</w:t>
      </w:r>
      <w:r>
        <w:rPr>
          <w:rFonts w:hint="eastAsia" w:ascii="Times New Roman" w:hAnsi="Times New Roman" w:eastAsia="仿宋_GB2312" w:cs="仿宋"/>
          <w:b w:val="0"/>
          <w:bCs/>
          <w:sz w:val="32"/>
          <w:szCs w:val="32"/>
          <w:highlight w:val="none"/>
          <w:lang w:val="en-US" w:eastAsia="zh-CN"/>
        </w:rPr>
        <w:t>招标</w:t>
      </w:r>
      <w:r>
        <w:rPr>
          <w:rFonts w:hint="eastAsia" w:ascii="Times New Roman" w:hAnsi="Times New Roman" w:eastAsia="仿宋_GB2312" w:cs="仿宋"/>
          <w:b w:val="0"/>
          <w:bCs/>
          <w:sz w:val="32"/>
          <w:szCs w:val="32"/>
          <w:highlight w:val="none"/>
          <w:lang w:eastAsia="zh-CN"/>
        </w:rPr>
        <w:t>公告</w:t>
      </w:r>
      <w:r>
        <w:rPr>
          <w:rFonts w:hint="eastAsia" w:ascii="Times New Roman" w:hAnsi="Times New Roman" w:eastAsia="仿宋_GB2312" w:cs="仿宋"/>
          <w:b w:val="0"/>
          <w:bCs/>
          <w:sz w:val="32"/>
          <w:szCs w:val="32"/>
          <w:highlight w:val="none"/>
          <w:lang w:val="en-US" w:eastAsia="zh-CN"/>
        </w:rPr>
        <w:t xml:space="preserve"> </w:t>
      </w:r>
      <w:r>
        <w:rPr>
          <w:rFonts w:hint="eastAsia" w:ascii="Times New Roman" w:hAnsi="Times New Roman" w:eastAsia="仿宋_GB2312" w:cs="仿宋"/>
          <w:b w:val="0"/>
          <w:bCs/>
          <w:sz w:val="32"/>
          <w:szCs w:val="32"/>
          <w:highlight w:val="none"/>
          <w:lang w:eastAsia="zh-CN"/>
        </w:rPr>
        <w:t>附件</w:t>
      </w:r>
      <w:r>
        <w:rPr>
          <w:rFonts w:hint="eastAsia" w:ascii="Times New Roman" w:hAnsi="Times New Roman" w:eastAsia="仿宋_GB2312" w:cs="仿宋"/>
          <w:b w:val="0"/>
          <w:bCs/>
          <w:sz w:val="32"/>
          <w:szCs w:val="32"/>
          <w:highlight w:val="none"/>
          <w:lang w:val="en-US" w:eastAsia="zh-CN"/>
        </w:rPr>
        <w:t>3《深圳市鹏劳人力资源管理有限公司2025年度员工健康体检项目（二次）</w:t>
      </w:r>
      <w:bookmarkStart w:id="66" w:name="_GoBack"/>
      <w:bookmarkEnd w:id="66"/>
      <w:r>
        <w:rPr>
          <w:rFonts w:hint="eastAsia" w:ascii="Times New Roman" w:hAnsi="Times New Roman" w:eastAsia="仿宋_GB2312" w:cs="仿宋"/>
          <w:b w:val="0"/>
          <w:bCs/>
          <w:sz w:val="32"/>
          <w:szCs w:val="32"/>
          <w:highlight w:val="none"/>
          <w:lang w:val="en-US" w:eastAsia="zh-CN"/>
        </w:rPr>
        <w:t>体检方案及报价表》”</w:t>
      </w:r>
      <w:r>
        <w:rPr>
          <w:rFonts w:hint="eastAsia" w:ascii="Times New Roman" w:hAnsi="Times New Roman" w:eastAsia="仿宋_GB2312" w:cs="仿宋"/>
          <w:b w:val="0"/>
          <w:bCs/>
          <w:sz w:val="32"/>
          <w:szCs w:val="32"/>
          <w:highlight w:val="none"/>
        </w:rPr>
        <w:t>，投标人在基准项目要求上另行增加体检</w:t>
      </w:r>
      <w:r>
        <w:rPr>
          <w:rFonts w:hint="eastAsia" w:ascii="仿宋_GB2312" w:hAnsi="仿宋_GB2312" w:eastAsia="仿宋_GB2312" w:cs="仿宋_GB2312"/>
          <w:b w:val="0"/>
          <w:bCs/>
          <w:sz w:val="32"/>
          <w:szCs w:val="32"/>
          <w:highlight w:val="none"/>
        </w:rPr>
        <w:t>项目或随附服务的，</w:t>
      </w:r>
      <w:r>
        <w:rPr>
          <w:rFonts w:hint="eastAsia" w:ascii="仿宋_GB2312" w:hAnsi="仿宋_GB2312" w:eastAsia="仿宋_GB2312" w:cs="仿宋_GB2312"/>
          <w:b w:val="0"/>
          <w:bCs/>
          <w:sz w:val="32"/>
          <w:szCs w:val="32"/>
          <w:highlight w:val="none"/>
          <w:lang w:eastAsia="zh-CN"/>
        </w:rPr>
        <w:t>表内列</w:t>
      </w:r>
      <w:r>
        <w:rPr>
          <w:rFonts w:hint="eastAsia" w:ascii="仿宋_GB2312" w:hAnsi="仿宋_GB2312" w:eastAsia="仿宋_GB2312" w:cs="仿宋_GB2312"/>
          <w:b w:val="0"/>
          <w:bCs/>
          <w:sz w:val="32"/>
          <w:szCs w:val="32"/>
          <w:highlight w:val="none"/>
        </w:rPr>
        <w:t>示说明；</w:t>
      </w:r>
    </w:p>
    <w:p w14:paraId="784813CB">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②除招标文件要求外，投标人另行承诺的</w:t>
      </w:r>
      <w:r>
        <w:rPr>
          <w:rFonts w:hint="eastAsia" w:ascii="仿宋_GB2312" w:hAnsi="仿宋_GB2312" w:eastAsia="仿宋_GB2312" w:cs="仿宋_GB2312"/>
          <w:b w:val="0"/>
          <w:bCs/>
          <w:sz w:val="32"/>
          <w:szCs w:val="32"/>
          <w:highlight w:val="none"/>
          <w:lang w:eastAsia="zh-CN"/>
        </w:rPr>
        <w:t>增值</w:t>
      </w:r>
      <w:r>
        <w:rPr>
          <w:rFonts w:hint="eastAsia" w:ascii="仿宋_GB2312" w:hAnsi="仿宋_GB2312" w:eastAsia="仿宋_GB2312" w:cs="仿宋_GB2312"/>
          <w:b w:val="0"/>
          <w:bCs/>
          <w:sz w:val="32"/>
          <w:szCs w:val="32"/>
          <w:highlight w:val="none"/>
        </w:rPr>
        <w:t>服务；</w:t>
      </w:r>
    </w:p>
    <w:p w14:paraId="1E9E1BCB">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③服务有效期；</w:t>
      </w:r>
    </w:p>
    <w:p w14:paraId="028B0767">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仿宋_GB2312" w:hAnsi="仿宋_GB2312" w:eastAsia="仿宋_GB2312" w:cs="仿宋_GB2312"/>
          <w:b w:val="0"/>
          <w:bCs/>
          <w:sz w:val="32"/>
          <w:szCs w:val="32"/>
          <w:highlight w:val="none"/>
        </w:rPr>
        <w:t>④其他投标人</w:t>
      </w:r>
      <w:r>
        <w:rPr>
          <w:rFonts w:hint="eastAsia" w:ascii="Times New Roman" w:hAnsi="Times New Roman" w:eastAsia="仿宋_GB2312" w:cs="仿宋"/>
          <w:b w:val="0"/>
          <w:bCs/>
          <w:sz w:val="32"/>
          <w:szCs w:val="32"/>
          <w:highlight w:val="none"/>
        </w:rPr>
        <w:t>认为需要说明的事项；</w:t>
      </w:r>
    </w:p>
    <w:p w14:paraId="32A6EAC2">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default" w:ascii="Times New Roman" w:hAnsi="Times New Roman" w:eastAsia="仿宋_GB2312" w:cs="仿宋"/>
          <w:b w:val="0"/>
          <w:bCs/>
          <w:sz w:val="32"/>
          <w:szCs w:val="32"/>
          <w:highlight w:val="none"/>
          <w:lang w:val="en-US" w:eastAsia="zh-CN"/>
        </w:rPr>
      </w:pPr>
      <w:r>
        <w:rPr>
          <w:rFonts w:hint="eastAsia" w:ascii="Times New Roman" w:hAnsi="Times New Roman" w:eastAsia="仿宋_GB2312" w:cs="仿宋"/>
          <w:b w:val="0"/>
          <w:bCs/>
          <w:sz w:val="32"/>
          <w:szCs w:val="32"/>
          <w:highlight w:val="none"/>
        </w:rPr>
        <w:t>3</w:t>
      </w:r>
      <w:r>
        <w:rPr>
          <w:rFonts w:hint="eastAsia" w:ascii="Times New Roman" w:hAnsi="Times New Roman" w:eastAsia="仿宋_GB2312" w:cs="仿宋"/>
          <w:b w:val="0"/>
          <w:bCs/>
          <w:sz w:val="32"/>
          <w:szCs w:val="32"/>
          <w:highlight w:val="none"/>
          <w:lang w:eastAsia="zh-CN"/>
        </w:rPr>
        <w:t>）</w:t>
      </w:r>
      <w:r>
        <w:rPr>
          <w:rFonts w:hint="eastAsia" w:ascii="Times New Roman" w:hAnsi="Times New Roman" w:eastAsia="仿宋_GB2312" w:cs="仿宋"/>
          <w:b w:val="0"/>
          <w:bCs/>
          <w:sz w:val="32"/>
          <w:szCs w:val="32"/>
          <w:highlight w:val="none"/>
          <w:lang w:val="en-US" w:eastAsia="zh-CN"/>
        </w:rPr>
        <w:t>招标文件</w:t>
      </w:r>
      <w:r>
        <w:rPr>
          <w:rFonts w:hint="eastAsia" w:ascii="Times New Roman" w:hAnsi="Times New Roman" w:eastAsia="仿宋_GB2312" w:cs="仿宋"/>
          <w:b w:val="0"/>
          <w:bCs/>
          <w:sz w:val="32"/>
          <w:szCs w:val="32"/>
          <w:highlight w:val="none"/>
        </w:rPr>
        <w:t>响应</w:t>
      </w:r>
      <w:r>
        <w:rPr>
          <w:rFonts w:hint="eastAsia" w:ascii="Times New Roman" w:hAnsi="Times New Roman" w:eastAsia="仿宋_GB2312" w:cs="仿宋"/>
          <w:b w:val="0"/>
          <w:bCs/>
          <w:sz w:val="32"/>
          <w:szCs w:val="32"/>
          <w:highlight w:val="none"/>
          <w:lang w:val="en-US" w:eastAsia="zh-CN"/>
        </w:rPr>
        <w:t>情况偏离</w:t>
      </w:r>
    </w:p>
    <w:p w14:paraId="015ACE1E">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投标人应制作与服务方案一致，按照“</w:t>
      </w:r>
      <w:r>
        <w:rPr>
          <w:rFonts w:hint="eastAsia" w:ascii="Times New Roman" w:hAnsi="Times New Roman" w:eastAsia="仿宋_GB2312" w:cs="仿宋"/>
          <w:b w:val="0"/>
          <w:bCs/>
          <w:sz w:val="32"/>
          <w:szCs w:val="32"/>
          <w:highlight w:val="none"/>
          <w:lang w:eastAsia="zh-CN"/>
        </w:rPr>
        <w:t>招标文件</w:t>
      </w:r>
      <w:r>
        <w:rPr>
          <w:rFonts w:hint="eastAsia" w:ascii="Times New Roman" w:hAnsi="Times New Roman" w:eastAsia="仿宋_GB2312" w:cs="仿宋"/>
          <w:b w:val="0"/>
          <w:bCs/>
          <w:sz w:val="32"/>
          <w:szCs w:val="32"/>
          <w:highlight w:val="none"/>
        </w:rPr>
        <w:t xml:space="preserve"> 第四章 </w:t>
      </w:r>
      <w:r>
        <w:rPr>
          <w:rFonts w:hint="eastAsia" w:ascii="Times New Roman" w:hAnsi="Times New Roman" w:eastAsia="仿宋_GB2312" w:cs="仿宋"/>
          <w:b w:val="0"/>
          <w:bCs/>
          <w:sz w:val="32"/>
          <w:szCs w:val="32"/>
          <w:highlight w:val="none"/>
          <w:lang w:val="en-US" w:eastAsia="zh-CN"/>
        </w:rPr>
        <w:t>招标</w:t>
      </w:r>
      <w:r>
        <w:rPr>
          <w:rFonts w:hint="eastAsia" w:ascii="Times New Roman" w:hAnsi="Times New Roman" w:eastAsia="仿宋_GB2312" w:cs="仿宋"/>
          <w:b w:val="0"/>
          <w:bCs/>
          <w:sz w:val="32"/>
          <w:szCs w:val="32"/>
          <w:highlight w:val="none"/>
        </w:rPr>
        <w:t>文件格式 格式</w:t>
      </w:r>
      <w:r>
        <w:rPr>
          <w:rFonts w:hint="eastAsia" w:ascii="Times New Roman" w:hAnsi="Times New Roman" w:eastAsia="仿宋_GB2312" w:cs="仿宋"/>
          <w:b w:val="0"/>
          <w:bCs/>
          <w:sz w:val="32"/>
          <w:szCs w:val="32"/>
          <w:highlight w:val="none"/>
          <w:lang w:val="en-US" w:eastAsia="zh-CN"/>
        </w:rPr>
        <w:t>4</w:t>
      </w:r>
      <w:r>
        <w:rPr>
          <w:rFonts w:hint="eastAsia" w:ascii="Times New Roman" w:hAnsi="Times New Roman" w:eastAsia="仿宋_GB2312" w:cs="仿宋"/>
          <w:b w:val="0"/>
          <w:bCs/>
          <w:sz w:val="32"/>
          <w:szCs w:val="32"/>
          <w:highlight w:val="none"/>
        </w:rPr>
        <w:t xml:space="preserve"> </w:t>
      </w:r>
      <w:r>
        <w:rPr>
          <w:rFonts w:hint="eastAsia" w:ascii="Times New Roman" w:hAnsi="Times New Roman" w:eastAsia="仿宋_GB2312" w:cs="仿宋"/>
          <w:b w:val="0"/>
          <w:bCs/>
          <w:sz w:val="32"/>
          <w:szCs w:val="32"/>
          <w:highlight w:val="none"/>
          <w:lang w:val="en-US" w:eastAsia="zh-CN"/>
        </w:rPr>
        <w:t>招标文件</w:t>
      </w:r>
      <w:r>
        <w:rPr>
          <w:rFonts w:hint="eastAsia" w:ascii="Times New Roman" w:hAnsi="Times New Roman" w:eastAsia="仿宋_GB2312" w:cs="仿宋"/>
          <w:b w:val="0"/>
          <w:bCs/>
          <w:sz w:val="32"/>
          <w:szCs w:val="32"/>
          <w:highlight w:val="none"/>
        </w:rPr>
        <w:t>响应</w:t>
      </w:r>
      <w:r>
        <w:rPr>
          <w:rFonts w:hint="eastAsia" w:ascii="Times New Roman" w:hAnsi="Times New Roman" w:eastAsia="仿宋_GB2312" w:cs="仿宋"/>
          <w:b w:val="0"/>
          <w:bCs/>
          <w:sz w:val="32"/>
          <w:szCs w:val="32"/>
          <w:highlight w:val="none"/>
          <w:lang w:val="en-US" w:eastAsia="zh-CN"/>
        </w:rPr>
        <w:t>情况偏离表</w:t>
      </w:r>
      <w:r>
        <w:rPr>
          <w:rFonts w:hint="eastAsia" w:ascii="Times New Roman" w:hAnsi="Times New Roman" w:eastAsia="仿宋_GB2312" w:cs="仿宋"/>
          <w:b w:val="0"/>
          <w:bCs/>
          <w:sz w:val="32"/>
          <w:szCs w:val="32"/>
          <w:highlight w:val="none"/>
        </w:rPr>
        <w:t>”模板填列的要素响应情况，注明相关要求响应的服务承诺及投标文件对应页数。</w:t>
      </w:r>
    </w:p>
    <w:p w14:paraId="471AD407">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lang w:eastAsia="zh-CN"/>
        </w:rPr>
        <w:t>（</w:t>
      </w:r>
      <w:r>
        <w:rPr>
          <w:rFonts w:hint="eastAsia" w:ascii="Times New Roman" w:hAnsi="Times New Roman" w:eastAsia="仿宋_GB2312" w:cs="仿宋"/>
          <w:b w:val="0"/>
          <w:bCs/>
          <w:sz w:val="32"/>
          <w:szCs w:val="32"/>
          <w:highlight w:val="none"/>
        </w:rPr>
        <w:t>4</w:t>
      </w:r>
      <w:r>
        <w:rPr>
          <w:rFonts w:hint="eastAsia" w:ascii="Times New Roman" w:hAnsi="Times New Roman" w:eastAsia="仿宋_GB2312" w:cs="仿宋"/>
          <w:b w:val="0"/>
          <w:bCs/>
          <w:sz w:val="32"/>
          <w:szCs w:val="32"/>
          <w:highlight w:val="none"/>
          <w:lang w:eastAsia="zh-CN"/>
        </w:rPr>
        <w:t>）</w:t>
      </w:r>
      <w:r>
        <w:rPr>
          <w:rFonts w:hint="eastAsia" w:ascii="Times New Roman" w:hAnsi="Times New Roman" w:eastAsia="仿宋_GB2312" w:cs="仿宋"/>
          <w:b w:val="0"/>
          <w:bCs/>
          <w:sz w:val="32"/>
          <w:szCs w:val="32"/>
          <w:highlight w:val="none"/>
          <w:lang w:val="en-US" w:eastAsia="zh-CN"/>
        </w:rPr>
        <w:t>廉洁</w:t>
      </w:r>
      <w:r>
        <w:rPr>
          <w:rFonts w:hint="eastAsia" w:ascii="Times New Roman" w:hAnsi="Times New Roman" w:eastAsia="仿宋_GB2312" w:cs="仿宋"/>
          <w:b w:val="0"/>
          <w:bCs/>
          <w:sz w:val="32"/>
          <w:szCs w:val="32"/>
          <w:highlight w:val="none"/>
        </w:rPr>
        <w:t>承诺函</w:t>
      </w:r>
    </w:p>
    <w:p w14:paraId="7FE5F534">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承诺函格式参见“</w:t>
      </w:r>
      <w:r>
        <w:rPr>
          <w:rFonts w:hint="eastAsia" w:ascii="Times New Roman" w:hAnsi="Times New Roman" w:eastAsia="仿宋_GB2312" w:cs="仿宋"/>
          <w:b w:val="0"/>
          <w:bCs/>
          <w:sz w:val="32"/>
          <w:szCs w:val="32"/>
          <w:highlight w:val="none"/>
          <w:lang w:eastAsia="zh-CN"/>
        </w:rPr>
        <w:t>招标文件</w:t>
      </w:r>
      <w:r>
        <w:rPr>
          <w:rFonts w:hint="eastAsia" w:ascii="Times New Roman" w:hAnsi="Times New Roman" w:eastAsia="仿宋_GB2312" w:cs="仿宋"/>
          <w:b w:val="0"/>
          <w:bCs/>
          <w:sz w:val="32"/>
          <w:szCs w:val="32"/>
          <w:highlight w:val="none"/>
        </w:rPr>
        <w:t xml:space="preserve"> 第四章 </w:t>
      </w:r>
      <w:r>
        <w:rPr>
          <w:rFonts w:hint="eastAsia" w:ascii="Times New Roman" w:hAnsi="Times New Roman" w:eastAsia="仿宋_GB2312" w:cs="仿宋"/>
          <w:b w:val="0"/>
          <w:bCs/>
          <w:sz w:val="32"/>
          <w:szCs w:val="32"/>
          <w:highlight w:val="none"/>
          <w:lang w:val="en-US" w:eastAsia="zh-CN"/>
        </w:rPr>
        <w:t>招标</w:t>
      </w:r>
      <w:r>
        <w:rPr>
          <w:rFonts w:hint="eastAsia" w:ascii="Times New Roman" w:hAnsi="Times New Roman" w:eastAsia="仿宋_GB2312" w:cs="仿宋"/>
          <w:b w:val="0"/>
          <w:bCs/>
          <w:sz w:val="32"/>
          <w:szCs w:val="32"/>
          <w:highlight w:val="none"/>
        </w:rPr>
        <w:t>文件格式 格式</w:t>
      </w:r>
      <w:r>
        <w:rPr>
          <w:rFonts w:hint="eastAsia" w:ascii="Times New Roman" w:hAnsi="Times New Roman" w:eastAsia="仿宋_GB2312" w:cs="仿宋"/>
          <w:b w:val="0"/>
          <w:bCs/>
          <w:sz w:val="32"/>
          <w:szCs w:val="32"/>
          <w:highlight w:val="none"/>
          <w:lang w:val="en-US" w:eastAsia="zh-CN"/>
        </w:rPr>
        <w:t>5廉洁</w:t>
      </w:r>
      <w:r>
        <w:rPr>
          <w:rFonts w:hint="eastAsia" w:ascii="Times New Roman" w:hAnsi="Times New Roman" w:eastAsia="仿宋_GB2312" w:cs="仿宋"/>
          <w:b w:val="0"/>
          <w:bCs/>
          <w:sz w:val="32"/>
          <w:szCs w:val="32"/>
          <w:highlight w:val="none"/>
        </w:rPr>
        <w:t>承诺函”。</w:t>
      </w:r>
    </w:p>
    <w:p w14:paraId="0B935208">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（5）保价承诺函</w:t>
      </w:r>
    </w:p>
    <w:p w14:paraId="7C7CCE5C">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格式参见“</w:t>
      </w:r>
      <w:r>
        <w:rPr>
          <w:rFonts w:hint="eastAsia" w:ascii="Times New Roman" w:hAnsi="Times New Roman" w:eastAsia="仿宋_GB2312" w:cs="仿宋"/>
          <w:b w:val="0"/>
          <w:bCs/>
          <w:sz w:val="32"/>
          <w:szCs w:val="32"/>
          <w:highlight w:val="none"/>
          <w:lang w:eastAsia="zh-CN"/>
        </w:rPr>
        <w:t>招标文件</w:t>
      </w:r>
      <w:r>
        <w:rPr>
          <w:rFonts w:hint="eastAsia" w:ascii="Times New Roman" w:hAnsi="Times New Roman" w:eastAsia="仿宋_GB2312" w:cs="仿宋"/>
          <w:b w:val="0"/>
          <w:bCs/>
          <w:sz w:val="32"/>
          <w:szCs w:val="32"/>
          <w:highlight w:val="none"/>
        </w:rPr>
        <w:t xml:space="preserve"> 第四章 </w:t>
      </w:r>
      <w:r>
        <w:rPr>
          <w:rFonts w:hint="eastAsia" w:ascii="Times New Roman" w:hAnsi="Times New Roman" w:eastAsia="仿宋_GB2312" w:cs="仿宋"/>
          <w:b w:val="0"/>
          <w:bCs/>
          <w:sz w:val="32"/>
          <w:szCs w:val="32"/>
          <w:highlight w:val="none"/>
          <w:lang w:val="en-US" w:eastAsia="zh-CN"/>
        </w:rPr>
        <w:t>招标</w:t>
      </w:r>
      <w:r>
        <w:rPr>
          <w:rFonts w:hint="eastAsia" w:ascii="Times New Roman" w:hAnsi="Times New Roman" w:eastAsia="仿宋_GB2312" w:cs="仿宋"/>
          <w:b w:val="0"/>
          <w:bCs/>
          <w:sz w:val="32"/>
          <w:szCs w:val="32"/>
          <w:highlight w:val="none"/>
        </w:rPr>
        <w:t>文件格式 格式</w:t>
      </w:r>
      <w:r>
        <w:rPr>
          <w:rFonts w:hint="eastAsia" w:ascii="Times New Roman" w:hAnsi="Times New Roman" w:eastAsia="仿宋_GB2312" w:cs="仿宋"/>
          <w:b w:val="0"/>
          <w:bCs/>
          <w:sz w:val="32"/>
          <w:szCs w:val="32"/>
          <w:highlight w:val="none"/>
          <w:lang w:val="en-US" w:eastAsia="zh-CN"/>
        </w:rPr>
        <w:t>6</w:t>
      </w:r>
      <w:r>
        <w:rPr>
          <w:rFonts w:hint="eastAsia" w:ascii="Times New Roman" w:hAnsi="Times New Roman" w:eastAsia="仿宋_GB2312" w:cs="仿宋_GB2312"/>
          <w:sz w:val="32"/>
          <w:szCs w:val="32"/>
          <w:lang w:val="en-US" w:eastAsia="zh-CN"/>
        </w:rPr>
        <w:t>保价承诺函</w:t>
      </w:r>
      <w:r>
        <w:rPr>
          <w:rFonts w:hint="eastAsia" w:ascii="Times New Roman" w:hAnsi="Times New Roman" w:eastAsia="仿宋_GB2312" w:cs="仿宋"/>
          <w:b w:val="0"/>
          <w:bCs/>
          <w:sz w:val="32"/>
          <w:szCs w:val="32"/>
          <w:highlight w:val="none"/>
        </w:rPr>
        <w:t>”。</w:t>
      </w:r>
    </w:p>
    <w:p w14:paraId="55DA8533">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rPr>
        <w:t>投标文件标注及封装</w:t>
      </w:r>
    </w:p>
    <w:p w14:paraId="7FB4501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投标人应将投标文件严格按以下要求进行标注、封装，并就封装做出清晰标注：</w:t>
      </w:r>
    </w:p>
    <w:p w14:paraId="7133091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1.开标一览表单独用唱标信封封装；</w:t>
      </w:r>
    </w:p>
    <w:p w14:paraId="02D27C8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2.</w:t>
      </w:r>
      <w:r>
        <w:rPr>
          <w:rFonts w:hint="eastAsia" w:ascii="仿宋_GB2312" w:hAnsi="仿宋_GB2312" w:eastAsia="仿宋_GB2312" w:cs="仿宋_GB2312"/>
          <w:b w:val="0"/>
          <w:bCs/>
          <w:sz w:val="32"/>
          <w:szCs w:val="32"/>
          <w:highlight w:val="none"/>
          <w:lang w:val="en-US" w:eastAsia="zh-CN"/>
        </w:rPr>
        <w:t>编制具有目录页的</w:t>
      </w:r>
      <w:r>
        <w:rPr>
          <w:rFonts w:hint="eastAsia" w:ascii="仿宋_GB2312" w:hAnsi="仿宋_GB2312" w:eastAsia="仿宋_GB2312" w:cs="仿宋_GB2312"/>
          <w:b w:val="0"/>
          <w:bCs/>
          <w:sz w:val="32"/>
          <w:szCs w:val="32"/>
          <w:highlight w:val="none"/>
        </w:rPr>
        <w:t>投标文件</w:t>
      </w:r>
      <w:r>
        <w:rPr>
          <w:rFonts w:hint="eastAsia" w:ascii="仿宋_GB2312" w:hAnsi="仿宋_GB2312" w:eastAsia="仿宋_GB2312" w:cs="仿宋_GB2312"/>
          <w:b w:val="0"/>
          <w:bCs/>
          <w:sz w:val="32"/>
          <w:szCs w:val="32"/>
          <w:highlight w:val="none"/>
          <w:lang w:val="en-US" w:eastAsia="zh-CN"/>
        </w:rPr>
        <w:t>装订</w:t>
      </w:r>
      <w:r>
        <w:rPr>
          <w:rFonts w:hint="eastAsia" w:ascii="仿宋_GB2312" w:hAnsi="仿宋_GB2312" w:eastAsia="仿宋_GB2312" w:cs="仿宋_GB2312"/>
          <w:b w:val="0"/>
          <w:bCs/>
          <w:sz w:val="32"/>
          <w:szCs w:val="32"/>
          <w:highlight w:val="none"/>
        </w:rPr>
        <w:t>成册，形</w:t>
      </w:r>
      <w:r>
        <w:rPr>
          <w:rFonts w:hint="eastAsia" w:ascii="Times New Roman" w:hAnsi="Times New Roman" w:eastAsia="仿宋_GB2312" w:cs="仿宋_GB2312"/>
          <w:b w:val="0"/>
          <w:bCs/>
          <w:sz w:val="32"/>
          <w:szCs w:val="32"/>
          <w:highlight w:val="none"/>
        </w:rPr>
        <w:t>成正本1份</w:t>
      </w:r>
      <w:r>
        <w:rPr>
          <w:rFonts w:hint="eastAsia" w:ascii="仿宋_GB2312" w:hAnsi="仿宋_GB2312" w:eastAsia="仿宋_GB2312" w:cs="仿宋_GB2312"/>
          <w:b w:val="0"/>
          <w:bCs/>
          <w:sz w:val="32"/>
          <w:szCs w:val="32"/>
          <w:highlight w:val="none"/>
        </w:rPr>
        <w:t>，正本每页均需加盖公章，并盖骑缝章；</w:t>
      </w:r>
    </w:p>
    <w:p w14:paraId="5D14598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3.正本应与和其内容一致的投标文件电子文本</w:t>
      </w:r>
      <w:r>
        <w:rPr>
          <w:rFonts w:hint="eastAsia" w:ascii="Times New Roman" w:hAnsi="Times New Roman" w:eastAsia="仿宋_GB2312" w:cs="仿宋_GB2312"/>
          <w:b w:val="0"/>
          <w:bCs/>
          <w:sz w:val="32"/>
          <w:szCs w:val="32"/>
          <w:highlight w:val="none"/>
        </w:rPr>
        <w:t>的U盘</w:t>
      </w:r>
      <w:r>
        <w:rPr>
          <w:rFonts w:hint="eastAsia" w:ascii="仿宋_GB2312" w:hAnsi="仿宋_GB2312" w:eastAsia="仿宋_GB2312" w:cs="仿宋_GB2312"/>
          <w:b w:val="0"/>
          <w:bCs/>
          <w:sz w:val="32"/>
          <w:szCs w:val="32"/>
          <w:highlight w:val="none"/>
        </w:rPr>
        <w:t>共同封装至一个信封内；</w:t>
      </w:r>
    </w:p>
    <w:p w14:paraId="75789CF3">
      <w:pPr>
        <w:pageBreakBefore w:val="0"/>
        <w:widowControl/>
        <w:kinsoku/>
        <w:wordWrap/>
        <w:overflowPunct/>
        <w:topLinePunct w:val="0"/>
        <w:autoSpaceDE/>
        <w:autoSpaceDN/>
        <w:bidi w:val="0"/>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4.投标文件应同时形成副</w:t>
      </w:r>
      <w:r>
        <w:rPr>
          <w:rFonts w:hint="eastAsia" w:ascii="Times New Roman" w:hAnsi="Times New Roman" w:eastAsia="仿宋_GB2312" w:cs="仿宋_GB2312"/>
          <w:b w:val="0"/>
          <w:bCs/>
          <w:sz w:val="32"/>
          <w:szCs w:val="32"/>
          <w:highlight w:val="none"/>
        </w:rPr>
        <w:t>本</w:t>
      </w:r>
      <w:r>
        <w:rPr>
          <w:rFonts w:hint="eastAsia" w:ascii="Times New Roman" w:hAnsi="Times New Roman" w:eastAsia="仿宋_GB2312" w:cs="仿宋_GB2312"/>
          <w:b w:val="0"/>
          <w:bCs/>
          <w:sz w:val="32"/>
          <w:szCs w:val="32"/>
          <w:highlight w:val="none"/>
          <w:lang w:val="en-US" w:eastAsia="zh-CN"/>
        </w:rPr>
        <w:t>2</w:t>
      </w:r>
      <w:r>
        <w:rPr>
          <w:rFonts w:hint="eastAsia" w:ascii="Times New Roman" w:hAnsi="Times New Roman" w:eastAsia="仿宋_GB2312" w:cs="仿宋_GB2312"/>
          <w:b w:val="0"/>
          <w:bCs/>
          <w:sz w:val="32"/>
          <w:szCs w:val="32"/>
          <w:highlight w:val="none"/>
        </w:rPr>
        <w:t>份</w:t>
      </w:r>
      <w:r>
        <w:rPr>
          <w:rFonts w:hint="eastAsia" w:ascii="仿宋_GB2312" w:hAnsi="仿宋_GB2312" w:eastAsia="仿宋_GB2312" w:cs="仿宋_GB2312"/>
          <w:b w:val="0"/>
          <w:bCs/>
          <w:sz w:val="32"/>
          <w:szCs w:val="32"/>
          <w:highlight w:val="none"/>
        </w:rPr>
        <w:t>，副本可为正本的复印件，封装至一个信封内；</w:t>
      </w:r>
    </w:p>
    <w:p w14:paraId="0E15AE74">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5.正副本封面及封装信封均应注明投标项目、招标编码、投标单位全称、正/副本性质，装于一个信封内密封；</w:t>
      </w:r>
    </w:p>
    <w:p w14:paraId="4A5443D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6.封装信封除以上信息外，还应标注内件正/副本性质、份数，密封处加盖公章。</w:t>
      </w:r>
    </w:p>
    <w:p w14:paraId="20A0DD3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投标人未按照招标文件要求进行排序、标注或封装导致招标人提前拆开或错误拆开投标文件造成废标的，由投标人自行承担不利后果。</w:t>
      </w:r>
    </w:p>
    <w:p w14:paraId="745A48EF">
      <w:pPr>
        <w:pStyle w:val="4"/>
        <w:keepNext w:val="0"/>
        <w:keepLines w:val="0"/>
        <w:pageBreakBefore w:val="0"/>
        <w:widowControl w:val="0"/>
        <w:kinsoku/>
        <w:wordWrap/>
        <w:overflowPunct/>
        <w:topLinePunct w:val="0"/>
        <w:autoSpaceDE/>
        <w:autoSpaceDN/>
        <w:bidi w:val="0"/>
        <w:adjustRightInd/>
        <w:spacing w:before="0" w:after="0" w:line="560" w:lineRule="exact"/>
        <w:ind w:left="0" w:firstLine="640" w:firstLineChars="200"/>
        <w:textAlignment w:val="auto"/>
        <w:rPr>
          <w:rFonts w:hint="eastAsia" w:ascii="黑体" w:hAnsi="黑体" w:eastAsia="黑体" w:cs="黑体"/>
          <w:b w:val="0"/>
          <w:bCs/>
          <w:sz w:val="32"/>
          <w:szCs w:val="32"/>
          <w:highlight w:val="none"/>
        </w:rPr>
      </w:pPr>
      <w:bookmarkStart w:id="25" w:name="_Toc28941"/>
      <w:r>
        <w:rPr>
          <w:rFonts w:hint="eastAsia" w:ascii="黑体" w:hAnsi="黑体" w:eastAsia="黑体" w:cs="黑体"/>
          <w:b w:val="0"/>
          <w:bCs/>
          <w:sz w:val="32"/>
          <w:szCs w:val="32"/>
          <w:highlight w:val="none"/>
        </w:rPr>
        <w:t>七、投标人须知</w:t>
      </w:r>
      <w:bookmarkEnd w:id="25"/>
    </w:p>
    <w:p w14:paraId="10A6B387">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（一）投标人因故不能参加投标的，须在开标会议至少前</w:t>
      </w:r>
      <w:r>
        <w:rPr>
          <w:rFonts w:hint="eastAsia" w:ascii="Times New Roman" w:hAnsi="Times New Roman" w:eastAsia="仿宋_GB2312" w:cs="仿宋"/>
          <w:b w:val="0"/>
          <w:bCs/>
          <w:sz w:val="32"/>
          <w:szCs w:val="32"/>
          <w:highlight w:val="none"/>
          <w:lang w:val="en-US" w:eastAsia="zh-CN"/>
        </w:rPr>
        <w:t>3</w:t>
      </w:r>
      <w:r>
        <w:rPr>
          <w:rFonts w:hint="eastAsia" w:ascii="Times New Roman" w:hAnsi="Times New Roman" w:eastAsia="仿宋_GB2312" w:cs="仿宋"/>
          <w:b w:val="0"/>
          <w:bCs/>
          <w:sz w:val="32"/>
          <w:szCs w:val="32"/>
          <w:highlight w:val="none"/>
        </w:rPr>
        <w:t>个工作日内以书面形式通知招标人。如未按本条要求通知招标人而造成招标工作受到阻碍或不良影响的，三年内不得参与招标人采购项目投标。</w:t>
      </w:r>
    </w:p>
    <w:p w14:paraId="4BCBBA98">
      <w:pPr>
        <w:keepNext w:val="0"/>
        <w:keepLines w:val="0"/>
        <w:pageBreakBefore w:val="0"/>
        <w:widowControl w:val="0"/>
        <w:kinsoku/>
        <w:wordWrap w:val="0"/>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lang w:val="en-US" w:eastAsia="zh-CN"/>
        </w:rPr>
        <w:t>（二）投标人对招标文件有任何疑问的，可在2025年8月25日17</w:t>
      </w:r>
      <w:r>
        <w:rPr>
          <w:rFonts w:hint="eastAsia" w:ascii="Times New Roman" w:hAnsi="Times New Roman" w:eastAsia="仿宋_GB2312" w:cs="仿宋"/>
          <w:b w:val="0"/>
          <w:bCs/>
          <w:color w:val="auto"/>
          <w:sz w:val="32"/>
          <w:szCs w:val="32"/>
          <w:highlight w:val="none"/>
          <w:u w:val="none"/>
          <w:lang w:val="en-US" w:eastAsia="zh-CN"/>
        </w:rPr>
        <w:t>时前内向本项目邀请投标公告列示的联系邮箱（huangxj@plhr.cn）发送书面答疑请求，未在规定时间或未按指定方式提出的，视为对招标文件及程序的认可，不得再以任何理由提出答疑，招标人将于2025年8月26</w:t>
      </w:r>
      <w:r>
        <w:rPr>
          <w:rFonts w:hint="eastAsia" w:ascii="Times New Roman" w:hAnsi="Times New Roman" w:eastAsia="仿宋_GB2312" w:cs="仿宋"/>
          <w:b w:val="0"/>
          <w:bCs/>
          <w:sz w:val="32"/>
          <w:szCs w:val="32"/>
          <w:highlight w:val="none"/>
          <w:lang w:val="en-US" w:eastAsia="zh-CN"/>
        </w:rPr>
        <w:t>日17时前进</w:t>
      </w:r>
      <w:r>
        <w:rPr>
          <w:rFonts w:hint="eastAsia" w:ascii="Times New Roman" w:hAnsi="Times New Roman" w:eastAsia="仿宋_GB2312" w:cs="仿宋"/>
          <w:b w:val="0"/>
          <w:bCs/>
          <w:sz w:val="32"/>
          <w:szCs w:val="32"/>
          <w:highlight w:val="none"/>
        </w:rPr>
        <w:t>行统一答疑。</w:t>
      </w:r>
    </w:p>
    <w:p w14:paraId="76F2C98C">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（三）投标人提出的报价应为已包括项目成本、依法应纳税金、履行服务所必要的随附工作所产生的其他费用等。</w:t>
      </w:r>
      <w:r>
        <w:rPr>
          <w:rFonts w:hint="eastAsia" w:ascii="Times New Roman" w:hAnsi="Times New Roman" w:eastAsia="仿宋_GB2312" w:cs="仿宋"/>
          <w:b w:val="0"/>
          <w:bCs/>
          <w:sz w:val="32"/>
          <w:szCs w:val="32"/>
          <w:highlight w:val="none"/>
          <w:lang w:eastAsia="zh-CN"/>
        </w:rPr>
        <w:t>报价单</w:t>
      </w:r>
      <w:r>
        <w:rPr>
          <w:rFonts w:hint="eastAsia" w:ascii="Times New Roman" w:hAnsi="Times New Roman" w:eastAsia="仿宋_GB2312" w:cs="仿宋"/>
          <w:b w:val="0"/>
          <w:bCs/>
          <w:sz w:val="32"/>
          <w:szCs w:val="32"/>
          <w:highlight w:val="none"/>
        </w:rPr>
        <w:t>只允许有一个以各体检项目单价</w:t>
      </w:r>
      <w:r>
        <w:rPr>
          <w:rFonts w:hint="eastAsia" w:ascii="Times New Roman" w:hAnsi="Times New Roman" w:eastAsia="仿宋_GB2312" w:cs="仿宋"/>
          <w:b w:val="0"/>
          <w:bCs/>
          <w:sz w:val="32"/>
          <w:szCs w:val="32"/>
          <w:highlight w:val="none"/>
          <w:lang w:eastAsia="zh-CN"/>
        </w:rPr>
        <w:t>、预期体检人数（以招标人提供的预计数为准）与项目总价</w:t>
      </w:r>
      <w:r>
        <w:rPr>
          <w:rFonts w:hint="eastAsia" w:ascii="Times New Roman" w:hAnsi="Times New Roman" w:eastAsia="仿宋_GB2312" w:cs="仿宋"/>
          <w:b w:val="0"/>
          <w:bCs/>
          <w:sz w:val="32"/>
          <w:szCs w:val="32"/>
          <w:highlight w:val="none"/>
        </w:rPr>
        <w:t>构成的报价文件，任何需要由招标人进行条件选择的非唯一报价将不予接受。</w:t>
      </w:r>
    </w:p>
    <w:p w14:paraId="2B858B7A">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（四）定标完成后，招标人将在公司官网（www.plhr.cn）</w:t>
      </w:r>
      <w:r>
        <w:rPr>
          <w:rFonts w:hint="eastAsia" w:ascii="Times New Roman" w:hAnsi="Times New Roman" w:eastAsia="仿宋_GB2312" w:cs="仿宋"/>
          <w:b w:val="0"/>
          <w:bCs/>
          <w:sz w:val="32"/>
          <w:szCs w:val="32"/>
          <w:highlight w:val="none"/>
          <w:lang w:val="en-US" w:eastAsia="zh-CN"/>
        </w:rPr>
        <w:t>及阳光采购平台</w:t>
      </w:r>
      <w:r>
        <w:rPr>
          <w:rFonts w:hint="eastAsia" w:ascii="Times New Roman" w:hAnsi="Times New Roman" w:eastAsia="仿宋_GB2312" w:cs="仿宋"/>
          <w:b w:val="0"/>
          <w:bCs/>
          <w:sz w:val="32"/>
          <w:szCs w:val="32"/>
          <w:highlight w:val="none"/>
        </w:rPr>
        <w:t>发布预中标结果公示，公示期为3个</w:t>
      </w:r>
      <w:r>
        <w:rPr>
          <w:rFonts w:hint="eastAsia" w:ascii="Times New Roman" w:hAnsi="Times New Roman" w:eastAsia="仿宋_GB2312" w:cs="仿宋"/>
          <w:b w:val="0"/>
          <w:bCs/>
          <w:sz w:val="32"/>
          <w:szCs w:val="32"/>
          <w:highlight w:val="none"/>
          <w:lang w:val="en-US" w:eastAsia="zh-CN"/>
        </w:rPr>
        <w:t>工作</w:t>
      </w:r>
      <w:r>
        <w:rPr>
          <w:rFonts w:hint="eastAsia" w:ascii="Times New Roman" w:hAnsi="Times New Roman" w:eastAsia="仿宋_GB2312" w:cs="仿宋"/>
          <w:b w:val="0"/>
          <w:bCs/>
          <w:sz w:val="32"/>
          <w:szCs w:val="32"/>
          <w:highlight w:val="none"/>
        </w:rPr>
        <w:t>日。</w:t>
      </w:r>
      <w:r>
        <w:rPr>
          <w:rFonts w:hint="eastAsia" w:ascii="Times New Roman" w:hAnsi="Times New Roman" w:eastAsia="仿宋_GB2312" w:cs="仿宋"/>
          <w:b w:val="0"/>
          <w:bCs/>
          <w:sz w:val="32"/>
          <w:szCs w:val="32"/>
          <w:highlight w:val="none"/>
          <w:lang w:eastAsia="zh-CN"/>
        </w:rPr>
        <w:t>至</w:t>
      </w:r>
      <w:r>
        <w:rPr>
          <w:rFonts w:hint="eastAsia" w:ascii="Times New Roman" w:hAnsi="Times New Roman" w:eastAsia="仿宋_GB2312" w:cs="仿宋"/>
          <w:b w:val="0"/>
          <w:bCs/>
          <w:sz w:val="32"/>
          <w:szCs w:val="32"/>
          <w:highlight w:val="none"/>
        </w:rPr>
        <w:t>公示期结束无异议的，向中标人发放《中标通知书》。公示期内如有质疑，需书面、实名向招标人提出并提交随附证据。招标人对电子邮件、口头形式提出或无实际证据的质疑不予受理。经招标人审定存在恶意质疑或投诉的，三年内不得参与招标人</w:t>
      </w:r>
      <w:r>
        <w:rPr>
          <w:rFonts w:hint="eastAsia" w:ascii="Times New Roman" w:hAnsi="Times New Roman" w:eastAsia="仿宋_GB2312" w:cs="仿宋"/>
          <w:b w:val="0"/>
          <w:bCs/>
          <w:sz w:val="32"/>
          <w:szCs w:val="32"/>
          <w:highlight w:val="none"/>
          <w:lang w:val="en-US" w:eastAsia="zh-CN"/>
        </w:rPr>
        <w:t>项目</w:t>
      </w:r>
      <w:r>
        <w:rPr>
          <w:rFonts w:hint="eastAsia" w:ascii="Times New Roman" w:hAnsi="Times New Roman" w:eastAsia="仿宋_GB2312" w:cs="仿宋"/>
          <w:b w:val="0"/>
          <w:bCs/>
          <w:sz w:val="32"/>
          <w:szCs w:val="32"/>
          <w:highlight w:val="none"/>
          <w:lang w:eastAsia="zh-CN"/>
        </w:rPr>
        <w:t>采购响应</w:t>
      </w:r>
      <w:r>
        <w:rPr>
          <w:rFonts w:hint="eastAsia" w:ascii="Times New Roman" w:hAnsi="Times New Roman" w:eastAsia="仿宋_GB2312" w:cs="仿宋"/>
          <w:b w:val="0"/>
          <w:bCs/>
          <w:sz w:val="32"/>
          <w:szCs w:val="32"/>
          <w:highlight w:val="none"/>
        </w:rPr>
        <w:t>。</w:t>
      </w:r>
    </w:p>
    <w:p w14:paraId="3307A1C2">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
          <w:bCs/>
          <w:sz w:val="32"/>
          <w:szCs w:val="32"/>
          <w:highlight w:val="none"/>
          <w:lang w:val="en-US" w:eastAsia="zh-CN"/>
        </w:rPr>
      </w:pPr>
      <w:r>
        <w:rPr>
          <w:rFonts w:hint="eastAsia" w:ascii="Times New Roman" w:hAnsi="Times New Roman" w:eastAsia="仿宋_GB2312" w:cs="仿宋"/>
          <w:b w:val="0"/>
          <w:bCs/>
          <w:sz w:val="32"/>
          <w:szCs w:val="32"/>
          <w:highlight w:val="none"/>
        </w:rPr>
        <w:t>（五）</w:t>
      </w:r>
      <w:r>
        <w:rPr>
          <w:rFonts w:hint="eastAsia" w:ascii="Times New Roman" w:hAnsi="Times New Roman" w:eastAsia="仿宋_GB2312" w:cs="仿宋"/>
          <w:bCs/>
          <w:sz w:val="32"/>
          <w:szCs w:val="32"/>
          <w:highlight w:val="none"/>
        </w:rPr>
        <w:t>若接受邀请、递交投标文件或投标文件符合性审查阶段中任一阶段的有效投标人数量不足3家，招标人有权根据经营管理需要</w:t>
      </w:r>
      <w:r>
        <w:rPr>
          <w:rFonts w:hint="default" w:ascii="Times New Roman" w:hAnsi="Times New Roman" w:eastAsia="仿宋_GB2312" w:cs="仿宋"/>
          <w:bCs/>
          <w:sz w:val="32"/>
          <w:szCs w:val="32"/>
          <w:highlight w:val="none"/>
        </w:rPr>
        <w:t>面向不特定社会公众实施公开招标，如二次招标有效投标人仍不足3家的，招标人将根据经营管理需要变更采购方式为</w:t>
      </w:r>
      <w:r>
        <w:rPr>
          <w:rFonts w:hint="eastAsia" w:ascii="Times New Roman" w:hAnsi="Times New Roman" w:eastAsia="仿宋_GB2312" w:cs="仿宋"/>
          <w:bCs/>
          <w:sz w:val="32"/>
          <w:szCs w:val="32"/>
          <w:highlight w:val="none"/>
        </w:rPr>
        <w:t>竞争性谈判</w:t>
      </w:r>
      <w:r>
        <w:rPr>
          <w:rFonts w:hint="default" w:ascii="Times New Roman" w:hAnsi="Times New Roman" w:eastAsia="仿宋_GB2312" w:cs="仿宋"/>
          <w:bCs/>
          <w:sz w:val="32"/>
          <w:szCs w:val="32"/>
          <w:highlight w:val="none"/>
        </w:rPr>
        <w:t>。前述各阶段已经作出有效响应的</w:t>
      </w:r>
      <w:r>
        <w:rPr>
          <w:rFonts w:hint="eastAsia" w:ascii="Times New Roman" w:hAnsi="Times New Roman" w:eastAsia="仿宋_GB2312" w:cs="仿宋"/>
          <w:bCs/>
          <w:sz w:val="32"/>
          <w:szCs w:val="32"/>
          <w:highlight w:val="none"/>
        </w:rPr>
        <w:t>投标文件</w:t>
      </w:r>
      <w:r>
        <w:rPr>
          <w:rFonts w:hint="default" w:ascii="Times New Roman" w:hAnsi="Times New Roman" w:eastAsia="仿宋_GB2312" w:cs="仿宋"/>
          <w:bCs/>
          <w:sz w:val="32"/>
          <w:szCs w:val="32"/>
          <w:highlight w:val="none"/>
        </w:rPr>
        <w:t>可以直接</w:t>
      </w:r>
      <w:r>
        <w:rPr>
          <w:rFonts w:hint="eastAsia" w:ascii="Times New Roman" w:hAnsi="Times New Roman" w:eastAsia="仿宋_GB2312" w:cs="仿宋"/>
          <w:bCs/>
          <w:sz w:val="32"/>
          <w:szCs w:val="32"/>
          <w:highlight w:val="none"/>
        </w:rPr>
        <w:t>适用于竞争性谈判</w:t>
      </w:r>
      <w:r>
        <w:rPr>
          <w:rFonts w:hint="default" w:ascii="Times New Roman" w:hAnsi="Times New Roman" w:eastAsia="仿宋_GB2312" w:cs="仿宋"/>
          <w:bCs/>
          <w:sz w:val="32"/>
          <w:szCs w:val="32"/>
          <w:highlight w:val="none"/>
        </w:rPr>
        <w:t>。</w:t>
      </w:r>
    </w:p>
    <w:p w14:paraId="1EE129D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Cs/>
          <w:sz w:val="32"/>
          <w:szCs w:val="32"/>
          <w:highlight w:val="none"/>
        </w:rPr>
        <w:t>招标人不承担因招标失败给投标人造成的损失。</w:t>
      </w:r>
    </w:p>
    <w:p w14:paraId="65D00076">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（六）本项目采用综合评标法，招标人不承诺投标价格最低的投标人中标。</w:t>
      </w:r>
    </w:p>
    <w:p w14:paraId="38A94FC1">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（七）中标方应在接到招标人电话通知后3个工作日内到招标人地址领取中标通知书，若逾期未领取的，视为自动放弃中标资格，项目重新招标，自动放弃的投标方不得再次参加本项目投标。</w:t>
      </w:r>
    </w:p>
    <w:p w14:paraId="34319E3F">
      <w:pPr>
        <w:pageBreakBefore w:val="0"/>
        <w:widowControl/>
        <w:kinsoku/>
        <w:wordWrap/>
        <w:overflowPunct/>
        <w:topLinePunct w:val="0"/>
        <w:autoSpaceDE/>
        <w:autoSpaceDN/>
        <w:bidi w:val="0"/>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（八）本项目不设置投标保证金及履约保证金，但招标人可以根据实际经营管理需要在定标完成后就合同条款、补充协议的订立与中标人进行协商以获得更有利于招标人经营管理的服务或价格。</w:t>
      </w:r>
    </w:p>
    <w:p w14:paraId="73B59255">
      <w:pPr>
        <w:pageBreakBefore w:val="0"/>
        <w:widowControl/>
        <w:kinsoku/>
        <w:wordWrap/>
        <w:overflowPunct/>
        <w:topLinePunct w:val="0"/>
        <w:autoSpaceDE/>
        <w:autoSpaceDN/>
        <w:bidi w:val="0"/>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（九）投标人必须接受招标人对本项目的全部招标、谈判方法。招标人对投标人未中标的结果不负有解释义务，不退还投标文件，且不承担投标方因投标产生的任何费用或损失。</w:t>
      </w:r>
    </w:p>
    <w:p w14:paraId="4C871ECD">
      <w:pPr>
        <w:pageBreakBefore w:val="0"/>
        <w:widowControl/>
        <w:kinsoku/>
        <w:wordWrap/>
        <w:overflowPunct/>
        <w:topLinePunct w:val="0"/>
        <w:autoSpaceDE/>
        <w:autoSpaceDN/>
        <w:bidi w:val="0"/>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（十）投标人有义务在整个招标工作开展期间自行留意招标人官方网站（www.plhr.cn）</w:t>
      </w:r>
      <w:r>
        <w:rPr>
          <w:rFonts w:hint="eastAsia" w:ascii="Times New Roman" w:hAnsi="Times New Roman" w:eastAsia="仿宋_GB2312" w:cs="仿宋"/>
          <w:b w:val="0"/>
          <w:bCs/>
          <w:sz w:val="32"/>
          <w:szCs w:val="32"/>
          <w:highlight w:val="none"/>
          <w:lang w:val="en-US" w:eastAsia="zh-CN"/>
        </w:rPr>
        <w:t>及深圳阳光采购平台</w:t>
      </w:r>
      <w:r>
        <w:rPr>
          <w:rFonts w:hint="eastAsia" w:ascii="Times New Roman" w:hAnsi="Times New Roman" w:eastAsia="仿宋_GB2312" w:cs="仿宋"/>
          <w:b w:val="0"/>
          <w:bCs/>
          <w:sz w:val="32"/>
          <w:szCs w:val="32"/>
          <w:highlight w:val="none"/>
        </w:rPr>
        <w:t>发布的公告通知，所有在该网站发布的公告、通知均视为有效送达。因投标人疏于浏览而导致的不利后果由投标人自行承担。</w:t>
      </w:r>
    </w:p>
    <w:p w14:paraId="1C0C8D71">
      <w:pPr>
        <w:pStyle w:val="4"/>
        <w:pageBreakBefore w:val="0"/>
        <w:kinsoku/>
        <w:wordWrap/>
        <w:overflowPunct/>
        <w:topLinePunct w:val="0"/>
        <w:autoSpaceDE/>
        <w:autoSpaceDN/>
        <w:bidi w:val="0"/>
        <w:spacing w:before="0" w:after="0" w:line="560" w:lineRule="exact"/>
        <w:ind w:left="0" w:firstLine="640" w:firstLineChars="200"/>
        <w:textAlignment w:val="auto"/>
        <w:rPr>
          <w:rFonts w:hint="eastAsia" w:ascii="黑体" w:hAnsi="黑体" w:eastAsia="黑体" w:cs="黑体"/>
          <w:b w:val="0"/>
          <w:bCs/>
          <w:sz w:val="32"/>
          <w:szCs w:val="32"/>
          <w:highlight w:val="none"/>
        </w:rPr>
      </w:pPr>
      <w:bookmarkStart w:id="26" w:name="_Toc14904"/>
      <w:r>
        <w:rPr>
          <w:rFonts w:hint="eastAsia" w:ascii="黑体" w:hAnsi="黑体" w:eastAsia="黑体" w:cs="黑体"/>
          <w:b w:val="0"/>
          <w:bCs/>
          <w:sz w:val="32"/>
          <w:szCs w:val="32"/>
          <w:highlight w:val="none"/>
        </w:rPr>
        <w:t>八、投标文件作废</w:t>
      </w:r>
      <w:bookmarkEnd w:id="26"/>
    </w:p>
    <w:p w14:paraId="5690177D">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投标人在投标过程中存在以下任一行为的，投标文件作废，取消投标资格：</w:t>
      </w:r>
    </w:p>
    <w:p w14:paraId="2307BE2B">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一）</w:t>
      </w:r>
      <w:r>
        <w:rPr>
          <w:rFonts w:hint="eastAsia" w:ascii="仿宋_GB2312" w:hAnsi="仿宋_GB2312" w:eastAsia="仿宋_GB2312" w:cs="仿宋_GB2312"/>
          <w:b w:val="0"/>
          <w:bCs/>
          <w:sz w:val="32"/>
          <w:szCs w:val="32"/>
          <w:highlight w:val="none"/>
        </w:rPr>
        <w:t>未按照投标邀请函示要求提交答复函、报名表及随附材料；</w:t>
      </w:r>
    </w:p>
    <w:p w14:paraId="57547F86">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二）</w:t>
      </w:r>
      <w:r>
        <w:rPr>
          <w:rFonts w:hint="eastAsia" w:ascii="仿宋_GB2312" w:hAnsi="仿宋_GB2312" w:eastAsia="仿宋_GB2312" w:cs="仿宋_GB2312"/>
          <w:b w:val="0"/>
          <w:bCs/>
          <w:sz w:val="32"/>
          <w:szCs w:val="32"/>
          <w:highlight w:val="none"/>
        </w:rPr>
        <w:t>投标人在投标、评标、定标期间存在企图影响招标结果、泄密、违反《承诺函》函示内容等不公平竞争行为；</w:t>
      </w:r>
    </w:p>
    <w:p w14:paraId="26C3903C">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三）</w:t>
      </w:r>
      <w:r>
        <w:rPr>
          <w:rFonts w:hint="eastAsia" w:ascii="仿宋_GB2312" w:hAnsi="仿宋_GB2312" w:eastAsia="仿宋_GB2312" w:cs="仿宋_GB2312"/>
          <w:b w:val="0"/>
          <w:bCs/>
          <w:sz w:val="32"/>
          <w:szCs w:val="32"/>
          <w:highlight w:val="none"/>
        </w:rPr>
        <w:t>未按照招标文件要求制作投标文件；</w:t>
      </w:r>
    </w:p>
    <w:p w14:paraId="723F663F">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四）</w:t>
      </w:r>
      <w:r>
        <w:rPr>
          <w:rFonts w:hint="eastAsia" w:ascii="仿宋_GB2312" w:hAnsi="仿宋_GB2312" w:eastAsia="仿宋_GB2312" w:cs="仿宋_GB2312"/>
          <w:b w:val="0"/>
          <w:bCs/>
          <w:sz w:val="32"/>
          <w:szCs w:val="32"/>
          <w:highlight w:val="none"/>
        </w:rPr>
        <w:t>未经招标方同意擅自改动招标文件内容；</w:t>
      </w:r>
    </w:p>
    <w:p w14:paraId="68D483C5">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五）</w:t>
      </w:r>
      <w:r>
        <w:rPr>
          <w:rFonts w:hint="eastAsia" w:ascii="仿宋_GB2312" w:hAnsi="仿宋_GB2312" w:eastAsia="仿宋_GB2312" w:cs="仿宋_GB2312"/>
          <w:b w:val="0"/>
          <w:bCs/>
          <w:sz w:val="32"/>
          <w:szCs w:val="32"/>
          <w:highlight w:val="none"/>
        </w:rPr>
        <w:t>投标文件递交超过截止时限或未能递交投标文件；</w:t>
      </w:r>
    </w:p>
    <w:p w14:paraId="1D28E3DD">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六）</w:t>
      </w:r>
      <w:r>
        <w:rPr>
          <w:rFonts w:hint="eastAsia" w:ascii="仿宋_GB2312" w:hAnsi="仿宋_GB2312" w:eastAsia="仿宋_GB2312" w:cs="仿宋_GB2312"/>
          <w:b w:val="0"/>
          <w:bCs/>
          <w:sz w:val="32"/>
          <w:szCs w:val="32"/>
          <w:highlight w:val="none"/>
        </w:rPr>
        <w:t>在邀请投标及后续谈判的任意环节中提供虚假材料及信息；</w:t>
      </w:r>
    </w:p>
    <w:p w14:paraId="317E7E95">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七）</w:t>
      </w:r>
      <w:r>
        <w:rPr>
          <w:rFonts w:hint="eastAsia" w:ascii="仿宋_GB2312" w:hAnsi="仿宋_GB2312" w:eastAsia="仿宋_GB2312" w:cs="仿宋_GB2312"/>
          <w:b w:val="0"/>
          <w:bCs/>
          <w:sz w:val="32"/>
          <w:szCs w:val="32"/>
          <w:highlight w:val="none"/>
        </w:rPr>
        <w:t>本文件中规定的其它按废标处理的情形。</w:t>
      </w:r>
    </w:p>
    <w:p w14:paraId="3E7019F3">
      <w:pPr>
        <w:pStyle w:val="4"/>
        <w:pageBreakBefore w:val="0"/>
        <w:kinsoku/>
        <w:wordWrap/>
        <w:overflowPunct/>
        <w:topLinePunct w:val="0"/>
        <w:autoSpaceDE/>
        <w:autoSpaceDN/>
        <w:bidi w:val="0"/>
        <w:spacing w:before="0" w:after="0" w:line="560" w:lineRule="exact"/>
        <w:ind w:left="0" w:firstLine="640" w:firstLineChars="200"/>
        <w:textAlignment w:val="auto"/>
        <w:rPr>
          <w:rFonts w:hint="eastAsia" w:ascii="黑体" w:hAnsi="黑体" w:eastAsia="黑体" w:cs="黑体"/>
          <w:b w:val="0"/>
          <w:bCs/>
          <w:sz w:val="32"/>
          <w:szCs w:val="32"/>
          <w:highlight w:val="none"/>
        </w:rPr>
      </w:pPr>
      <w:bookmarkStart w:id="27" w:name="_Toc5667"/>
      <w:r>
        <w:rPr>
          <w:rFonts w:hint="eastAsia" w:ascii="黑体" w:hAnsi="黑体" w:eastAsia="黑体" w:cs="黑体"/>
          <w:b w:val="0"/>
          <w:bCs/>
          <w:sz w:val="32"/>
          <w:szCs w:val="32"/>
          <w:highlight w:val="none"/>
        </w:rPr>
        <w:t>九、其他要求</w:t>
      </w:r>
      <w:bookmarkEnd w:id="27"/>
    </w:p>
    <w:p w14:paraId="60FE298A">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_GB2312"/>
          <w:b w:val="0"/>
          <w:bCs/>
          <w:sz w:val="32"/>
          <w:szCs w:val="32"/>
          <w:highlight w:val="none"/>
          <w:lang w:eastAsia="zh-CN"/>
        </w:rPr>
        <w:t>（</w:t>
      </w:r>
      <w:r>
        <w:rPr>
          <w:rFonts w:hint="eastAsia" w:ascii="Times New Roman" w:hAnsi="Times New Roman" w:eastAsia="仿宋_GB2312" w:cs="仿宋_GB2312"/>
          <w:b w:val="0"/>
          <w:bCs/>
          <w:sz w:val="32"/>
          <w:szCs w:val="32"/>
          <w:highlight w:val="none"/>
          <w:lang w:val="en-US" w:eastAsia="zh-CN"/>
        </w:rPr>
        <w:t>一）</w:t>
      </w:r>
      <w:r>
        <w:rPr>
          <w:rFonts w:hint="eastAsia" w:ascii="Times New Roman" w:hAnsi="Times New Roman" w:eastAsia="仿宋_GB2312" w:cs="仿宋"/>
          <w:b w:val="0"/>
          <w:bCs/>
          <w:sz w:val="32"/>
          <w:szCs w:val="32"/>
          <w:highlight w:val="none"/>
        </w:rPr>
        <w:t>投标人应逐项阅读招标文件的全部要求，根据投标人真实情况以审慎、诚信原则提交投标文件。如投标人编制的投标文件不能响应和满足招标文件及项目要求，该投标文件将被视为无效，由此引起的不利后果由投标人自行承担；</w:t>
      </w:r>
    </w:p>
    <w:p w14:paraId="5B98DE6B">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_GB2312"/>
          <w:b w:val="0"/>
          <w:bCs/>
          <w:sz w:val="32"/>
          <w:szCs w:val="32"/>
          <w:highlight w:val="none"/>
          <w:lang w:eastAsia="zh-CN"/>
        </w:rPr>
        <w:t>（</w:t>
      </w:r>
      <w:r>
        <w:rPr>
          <w:rFonts w:hint="eastAsia" w:ascii="Times New Roman" w:hAnsi="Times New Roman" w:eastAsia="仿宋_GB2312" w:cs="仿宋_GB2312"/>
          <w:b w:val="0"/>
          <w:bCs/>
          <w:sz w:val="32"/>
          <w:szCs w:val="32"/>
          <w:highlight w:val="none"/>
          <w:lang w:val="en-US" w:eastAsia="zh-CN"/>
        </w:rPr>
        <w:t>二）</w:t>
      </w:r>
      <w:r>
        <w:rPr>
          <w:rFonts w:hint="eastAsia" w:ascii="Times New Roman" w:hAnsi="Times New Roman" w:eastAsia="仿宋_GB2312" w:cs="仿宋"/>
          <w:b w:val="0"/>
          <w:bCs/>
          <w:sz w:val="32"/>
          <w:szCs w:val="32"/>
          <w:highlight w:val="none"/>
        </w:rPr>
        <w:t>对恶意投标、中标后不能按照本招标文件“</w:t>
      </w:r>
      <w:r>
        <w:rPr>
          <w:rFonts w:hint="eastAsia" w:ascii="Times New Roman" w:hAnsi="Times New Roman" w:eastAsia="仿宋_GB2312" w:cs="仿宋"/>
          <w:b w:val="0"/>
          <w:bCs/>
          <w:sz w:val="32"/>
          <w:szCs w:val="32"/>
          <w:highlight w:val="none"/>
          <w:lang w:eastAsia="zh-CN"/>
        </w:rPr>
        <w:t>招标文件</w:t>
      </w:r>
      <w:r>
        <w:rPr>
          <w:rFonts w:hint="eastAsia" w:ascii="Times New Roman" w:hAnsi="Times New Roman" w:eastAsia="仿宋_GB2312" w:cs="仿宋"/>
          <w:b w:val="0"/>
          <w:bCs/>
          <w:sz w:val="32"/>
          <w:szCs w:val="32"/>
          <w:highlight w:val="none"/>
        </w:rPr>
        <w:t xml:space="preserve"> 第三章 合同条款”要求的服务标准提供服务者，招标人有权即时停止履行合同，同时取消投标人供应商资格。对招标人造成实际经济或商誉损失的，招标人保留起诉、索赔等正当权利。</w:t>
      </w:r>
    </w:p>
    <w:p w14:paraId="7C6083BA">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三）</w:t>
      </w:r>
      <w:r>
        <w:rPr>
          <w:rFonts w:hint="eastAsia" w:ascii="Times New Roman" w:hAnsi="Times New Roman" w:eastAsia="仿宋_GB2312" w:cs="仿宋"/>
          <w:b w:val="0"/>
          <w:bCs/>
          <w:sz w:val="32"/>
          <w:szCs w:val="32"/>
          <w:highlight w:val="none"/>
        </w:rPr>
        <w:t>不论投标结果如何，投标人的投标文件均不退回，且不对未中标单位作任何解释。投标人因投标产生的一切费用不管投标结果如何，均由投标人承担。</w:t>
      </w:r>
    </w:p>
    <w:p w14:paraId="396FD2C1">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四）</w:t>
      </w:r>
      <w:r>
        <w:rPr>
          <w:rFonts w:hint="eastAsia" w:ascii="Times New Roman" w:hAnsi="Times New Roman" w:eastAsia="仿宋_GB2312" w:cs="仿宋"/>
          <w:b w:val="0"/>
          <w:bCs/>
          <w:sz w:val="32"/>
          <w:szCs w:val="32"/>
          <w:highlight w:val="none"/>
        </w:rPr>
        <w:t>投标人不得相互串通投标报价，不得排挤其他投标人的公平竞争。一经发现违规行为，招标人有权立即终止采购活动并取消违反规定的投标人资格。</w:t>
      </w:r>
    </w:p>
    <w:p w14:paraId="1CB18705">
      <w:pPr>
        <w:pStyle w:val="4"/>
        <w:pageBreakBefore w:val="0"/>
        <w:kinsoku/>
        <w:wordWrap/>
        <w:overflowPunct/>
        <w:topLinePunct w:val="0"/>
        <w:autoSpaceDE/>
        <w:autoSpaceDN/>
        <w:bidi w:val="0"/>
        <w:spacing w:before="0" w:after="0" w:line="560" w:lineRule="exact"/>
        <w:ind w:left="0" w:firstLine="640" w:firstLineChars="200"/>
        <w:textAlignment w:val="auto"/>
        <w:rPr>
          <w:rFonts w:hint="eastAsia" w:ascii="黑体" w:hAnsi="黑体" w:eastAsia="黑体" w:cs="黑体"/>
          <w:b w:val="0"/>
          <w:bCs/>
          <w:sz w:val="32"/>
          <w:szCs w:val="32"/>
          <w:highlight w:val="none"/>
        </w:rPr>
      </w:pPr>
      <w:bookmarkStart w:id="28" w:name="_Toc3787"/>
      <w:r>
        <w:rPr>
          <w:rFonts w:hint="eastAsia" w:ascii="黑体" w:hAnsi="黑体" w:eastAsia="黑体" w:cs="黑体"/>
          <w:b w:val="0"/>
          <w:bCs/>
          <w:sz w:val="32"/>
          <w:szCs w:val="32"/>
          <w:highlight w:val="none"/>
        </w:rPr>
        <w:t>十、投标文件递交</w:t>
      </w:r>
      <w:bookmarkEnd w:id="28"/>
    </w:p>
    <w:p w14:paraId="4A50906A">
      <w:pPr>
        <w:pageBreakBefore w:val="0"/>
        <w:widowControl/>
        <w:kinsoku/>
        <w:wordWrap/>
        <w:overflowPunct/>
        <w:topLinePunct w:val="0"/>
        <w:autoSpaceDE/>
        <w:autoSpaceDN/>
        <w:bidi w:val="0"/>
        <w:snapToGrid w:val="0"/>
        <w:spacing w:line="560" w:lineRule="exact"/>
        <w:ind w:left="0" w:firstLine="640" w:firstLineChars="200"/>
        <w:jc w:val="left"/>
        <w:textAlignment w:val="auto"/>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一）</w:t>
      </w:r>
      <w:r>
        <w:rPr>
          <w:rFonts w:hint="eastAsia" w:ascii="楷体_GB2312" w:hAnsi="楷体_GB2312" w:eastAsia="楷体_GB2312" w:cs="楷体_GB2312"/>
          <w:b w:val="0"/>
          <w:bCs/>
          <w:sz w:val="32"/>
          <w:szCs w:val="32"/>
          <w:highlight w:val="none"/>
        </w:rPr>
        <w:t>递交方式</w:t>
      </w:r>
    </w:p>
    <w:p w14:paraId="496D359D">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现场递交</w:t>
      </w:r>
    </w:p>
    <w:p w14:paraId="48D23BFA">
      <w:pPr>
        <w:pageBreakBefore w:val="0"/>
        <w:widowControl/>
        <w:kinsoku/>
        <w:wordWrap/>
        <w:overflowPunct/>
        <w:topLinePunct w:val="0"/>
        <w:autoSpaceDE/>
        <w:autoSpaceDN/>
        <w:bidi w:val="0"/>
        <w:snapToGrid w:val="0"/>
        <w:spacing w:line="560" w:lineRule="exact"/>
        <w:ind w:left="0" w:firstLine="640" w:firstLineChars="200"/>
        <w:jc w:val="left"/>
        <w:textAlignment w:val="auto"/>
        <w:rPr>
          <w:rFonts w:hint="eastAsia" w:ascii="楷体_GB2312" w:hAnsi="楷体_GB2312" w:eastAsia="楷体_GB2312" w:cs="楷体_GB2312"/>
          <w:b w:val="0"/>
          <w:bCs/>
          <w:sz w:val="32"/>
          <w:szCs w:val="32"/>
          <w:highlight w:val="none"/>
          <w:lang w:val="en-US" w:eastAsia="zh-CN"/>
        </w:rPr>
      </w:pPr>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二）</w:t>
      </w:r>
      <w:r>
        <w:rPr>
          <w:rFonts w:hint="eastAsia" w:ascii="楷体_GB2312" w:hAnsi="楷体_GB2312" w:eastAsia="楷体_GB2312" w:cs="楷体_GB2312"/>
          <w:b w:val="0"/>
          <w:bCs/>
          <w:sz w:val="32"/>
          <w:szCs w:val="32"/>
          <w:highlight w:val="none"/>
          <w:lang w:eastAsia="zh-CN"/>
        </w:rPr>
        <w:t>递交</w:t>
      </w:r>
      <w:r>
        <w:rPr>
          <w:rFonts w:hint="eastAsia" w:ascii="楷体_GB2312" w:hAnsi="楷体_GB2312" w:eastAsia="楷体_GB2312" w:cs="楷体_GB2312"/>
          <w:b w:val="0"/>
          <w:bCs/>
          <w:sz w:val="32"/>
          <w:szCs w:val="32"/>
          <w:highlight w:val="none"/>
          <w:lang w:val="en-US" w:eastAsia="zh-CN"/>
        </w:rPr>
        <w:t>截止时间</w:t>
      </w:r>
    </w:p>
    <w:p w14:paraId="0867A86D">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
          <w:b w:val="0"/>
          <w:bCs/>
          <w:sz w:val="32"/>
          <w:szCs w:val="32"/>
          <w:highlight w:val="none"/>
          <w:lang w:eastAsia="zh-CN"/>
        </w:rPr>
      </w:pPr>
      <w:r>
        <w:rPr>
          <w:rFonts w:hint="eastAsia" w:ascii="Times New Roman" w:hAnsi="Times New Roman" w:eastAsia="仿宋_GB2312" w:cs="仿宋"/>
          <w:b w:val="0"/>
          <w:bCs/>
          <w:kern w:val="0"/>
          <w:sz w:val="32"/>
          <w:szCs w:val="32"/>
          <w:highlight w:val="none"/>
          <w:lang w:val="en-US" w:eastAsia="zh-CN" w:bidi="ar-SA"/>
        </w:rPr>
        <w:t>2025年9月1日9时</w:t>
      </w:r>
      <w:r>
        <w:rPr>
          <w:rFonts w:hint="eastAsia" w:ascii="Times New Roman" w:hAnsi="Times New Roman" w:eastAsia="仿宋_GB2312" w:cs="仿宋"/>
          <w:b w:val="0"/>
          <w:bCs/>
          <w:sz w:val="32"/>
          <w:szCs w:val="32"/>
          <w:highlight w:val="none"/>
          <w:lang w:val="en-US" w:eastAsia="zh-CN"/>
        </w:rPr>
        <w:t>30</w:t>
      </w:r>
      <w:r>
        <w:rPr>
          <w:rFonts w:hint="eastAsia" w:ascii="Times New Roman" w:hAnsi="Times New Roman" w:eastAsia="仿宋_GB2312" w:cs="仿宋"/>
          <w:b w:val="0"/>
          <w:bCs/>
          <w:sz w:val="32"/>
          <w:szCs w:val="32"/>
          <w:highlight w:val="none"/>
        </w:rPr>
        <w:t>分</w:t>
      </w:r>
    </w:p>
    <w:p w14:paraId="7C9E892B">
      <w:pPr>
        <w:pageBreakBefore w:val="0"/>
        <w:widowControl/>
        <w:kinsoku/>
        <w:wordWrap/>
        <w:overflowPunct/>
        <w:topLinePunct w:val="0"/>
        <w:autoSpaceDE/>
        <w:autoSpaceDN/>
        <w:bidi w:val="0"/>
        <w:snapToGrid w:val="0"/>
        <w:spacing w:line="560" w:lineRule="exact"/>
        <w:ind w:left="0" w:firstLine="640" w:firstLineChars="200"/>
        <w:jc w:val="left"/>
        <w:textAlignment w:val="auto"/>
        <w:rPr>
          <w:rFonts w:hint="eastAsia" w:ascii="楷体_GB2312" w:hAnsi="楷体_GB2312" w:eastAsia="楷体_GB2312" w:cs="楷体_GB2312"/>
          <w:b w:val="0"/>
          <w:bCs/>
          <w:sz w:val="32"/>
          <w:szCs w:val="32"/>
          <w:highlight w:val="none"/>
          <w:lang w:eastAsia="zh-CN"/>
        </w:rPr>
      </w:pPr>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三）</w:t>
      </w:r>
      <w:r>
        <w:rPr>
          <w:rFonts w:hint="eastAsia" w:ascii="楷体_GB2312" w:hAnsi="楷体_GB2312" w:eastAsia="楷体_GB2312" w:cs="楷体_GB2312"/>
          <w:b w:val="0"/>
          <w:bCs/>
          <w:sz w:val="32"/>
          <w:szCs w:val="32"/>
          <w:highlight w:val="none"/>
          <w:lang w:eastAsia="zh-CN"/>
        </w:rPr>
        <w:t>递交地址</w:t>
      </w:r>
    </w:p>
    <w:p w14:paraId="4A27301F">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
          <w:b w:val="0"/>
          <w:bCs/>
          <w:kern w:val="0"/>
          <w:sz w:val="32"/>
          <w:szCs w:val="32"/>
          <w:highlight w:val="none"/>
          <w:lang w:val="en-US" w:eastAsia="zh-CN" w:bidi="ar-SA"/>
        </w:rPr>
      </w:pPr>
      <w:r>
        <w:rPr>
          <w:rFonts w:hint="eastAsia" w:ascii="Times New Roman" w:hAnsi="Times New Roman" w:eastAsia="仿宋_GB2312" w:cs="仿宋"/>
          <w:b w:val="0"/>
          <w:bCs/>
          <w:kern w:val="0"/>
          <w:sz w:val="32"/>
          <w:szCs w:val="32"/>
          <w:highlight w:val="none"/>
          <w:lang w:val="en-US" w:eastAsia="zh-CN" w:bidi="ar-SA"/>
        </w:rPr>
        <w:t>深圳市罗湖区笋岗街道田心社区红岭北路2088号招商开元中心A座13层</w:t>
      </w:r>
    </w:p>
    <w:p w14:paraId="593CD36A">
      <w:pPr>
        <w:pageBreakBefore w:val="0"/>
        <w:widowControl/>
        <w:kinsoku/>
        <w:wordWrap/>
        <w:overflowPunct/>
        <w:topLinePunct w:val="0"/>
        <w:autoSpaceDE/>
        <w:autoSpaceDN/>
        <w:bidi w:val="0"/>
        <w:snapToGrid w:val="0"/>
        <w:spacing w:line="560" w:lineRule="exact"/>
        <w:ind w:left="0" w:firstLine="640" w:firstLineChars="200"/>
        <w:jc w:val="left"/>
        <w:textAlignment w:val="auto"/>
        <w:rPr>
          <w:rFonts w:hint="eastAsia" w:ascii="楷体_GB2312" w:hAnsi="楷体_GB2312" w:eastAsia="楷体_GB2312" w:cs="楷体_GB2312"/>
          <w:b w:val="0"/>
          <w:bCs/>
          <w:sz w:val="32"/>
          <w:szCs w:val="32"/>
          <w:highlight w:val="none"/>
          <w:lang w:eastAsia="zh-CN"/>
        </w:rPr>
      </w:pPr>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四）</w:t>
      </w:r>
      <w:r>
        <w:rPr>
          <w:rFonts w:hint="eastAsia" w:ascii="楷体_GB2312" w:hAnsi="楷体_GB2312" w:eastAsia="楷体_GB2312" w:cs="楷体_GB2312"/>
          <w:b w:val="0"/>
          <w:bCs/>
          <w:sz w:val="32"/>
          <w:szCs w:val="32"/>
          <w:highlight w:val="none"/>
          <w:lang w:eastAsia="zh-CN"/>
        </w:rPr>
        <w:t>递交要求</w:t>
      </w:r>
    </w:p>
    <w:p w14:paraId="314E1109">
      <w:pPr>
        <w:pStyle w:val="8"/>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
          <w:b w:val="0"/>
          <w:bCs/>
          <w:kern w:val="0"/>
          <w:sz w:val="32"/>
          <w:szCs w:val="32"/>
          <w:highlight w:val="none"/>
          <w:lang w:val="en-US" w:eastAsia="zh-CN" w:bidi="ar-SA"/>
        </w:rPr>
      </w:pPr>
      <w:r>
        <w:rPr>
          <w:rFonts w:hint="eastAsia" w:ascii="Times New Roman" w:hAnsi="Times New Roman" w:eastAsia="仿宋_GB2312" w:cs="仿宋"/>
          <w:b w:val="0"/>
          <w:bCs/>
          <w:kern w:val="0"/>
          <w:sz w:val="32"/>
          <w:szCs w:val="32"/>
          <w:highlight w:val="none"/>
          <w:lang w:val="en-US" w:eastAsia="zh-CN" w:bidi="ar-SA"/>
        </w:rPr>
        <w:t>所有投标文件由投标人按照招标文件指定格式与方式逐一进场递交。</w:t>
      </w:r>
    </w:p>
    <w:p w14:paraId="0FB38D26">
      <w:pPr>
        <w:pStyle w:val="4"/>
        <w:pageBreakBefore w:val="0"/>
        <w:kinsoku/>
        <w:wordWrap/>
        <w:overflowPunct/>
        <w:topLinePunct w:val="0"/>
        <w:autoSpaceDE/>
        <w:autoSpaceDN/>
        <w:bidi w:val="0"/>
        <w:spacing w:before="0" w:after="0" w:line="560" w:lineRule="exact"/>
        <w:ind w:left="0" w:firstLine="640" w:firstLineChars="200"/>
        <w:textAlignment w:val="auto"/>
        <w:rPr>
          <w:rFonts w:hint="eastAsia" w:ascii="黑体" w:hAnsi="黑体" w:eastAsia="黑体" w:cs="黑体"/>
          <w:b w:val="0"/>
          <w:bCs/>
          <w:sz w:val="32"/>
          <w:szCs w:val="32"/>
          <w:highlight w:val="none"/>
        </w:rPr>
      </w:pPr>
      <w:bookmarkStart w:id="29" w:name="_Toc10120"/>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一</w:t>
      </w:r>
      <w:r>
        <w:rPr>
          <w:rFonts w:hint="eastAsia" w:ascii="黑体" w:hAnsi="黑体" w:eastAsia="黑体" w:cs="黑体"/>
          <w:b w:val="0"/>
          <w:bCs/>
          <w:sz w:val="32"/>
          <w:szCs w:val="32"/>
          <w:highlight w:val="none"/>
        </w:rPr>
        <w:t>、开标</w:t>
      </w:r>
      <w:bookmarkEnd w:id="29"/>
    </w:p>
    <w:p w14:paraId="7B7A69F2">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一</w:t>
      </w:r>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rPr>
        <w:t>开标时间</w:t>
      </w:r>
    </w:p>
    <w:p w14:paraId="49023999">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kern w:val="0"/>
          <w:sz w:val="32"/>
          <w:szCs w:val="32"/>
          <w:highlight w:val="none"/>
          <w:lang w:val="en-US" w:eastAsia="zh-CN" w:bidi="ar-SA"/>
        </w:rPr>
        <w:t>2025年9月1日9时</w:t>
      </w:r>
      <w:r>
        <w:rPr>
          <w:rFonts w:hint="eastAsia" w:ascii="Times New Roman" w:hAnsi="Times New Roman" w:eastAsia="仿宋_GB2312" w:cs="仿宋"/>
          <w:b w:val="0"/>
          <w:bCs/>
          <w:sz w:val="32"/>
          <w:szCs w:val="32"/>
          <w:highlight w:val="none"/>
          <w:lang w:val="en-US" w:eastAsia="zh-CN"/>
        </w:rPr>
        <w:t>30</w:t>
      </w:r>
      <w:r>
        <w:rPr>
          <w:rFonts w:hint="eastAsia" w:ascii="Times New Roman" w:hAnsi="Times New Roman" w:eastAsia="仿宋_GB2312" w:cs="仿宋"/>
          <w:b w:val="0"/>
          <w:bCs/>
          <w:sz w:val="32"/>
          <w:szCs w:val="32"/>
          <w:highlight w:val="none"/>
        </w:rPr>
        <w:t>分</w:t>
      </w:r>
    </w:p>
    <w:p w14:paraId="7479C3E3">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楷体_GB2312" w:hAnsi="楷体_GB2312" w:eastAsia="楷体_GB2312" w:cs="楷体_GB2312"/>
          <w:b w:val="0"/>
          <w:bCs/>
          <w:sz w:val="32"/>
          <w:szCs w:val="32"/>
          <w:highlight w:val="none"/>
          <w:lang w:eastAsia="zh-CN"/>
        </w:rPr>
      </w:pPr>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二）</w:t>
      </w:r>
      <w:r>
        <w:rPr>
          <w:rFonts w:hint="eastAsia" w:ascii="楷体_GB2312" w:hAnsi="楷体_GB2312" w:eastAsia="楷体_GB2312" w:cs="楷体_GB2312"/>
          <w:b w:val="0"/>
          <w:bCs/>
          <w:sz w:val="32"/>
          <w:szCs w:val="32"/>
          <w:highlight w:val="none"/>
          <w:lang w:eastAsia="zh-CN"/>
        </w:rPr>
        <w:t>开标方式</w:t>
      </w:r>
    </w:p>
    <w:p w14:paraId="069DB9E3">
      <w:pPr>
        <w:pStyle w:val="8"/>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现场开标</w:t>
      </w:r>
    </w:p>
    <w:p w14:paraId="26E2B1A7">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楷体_GB2312" w:hAnsi="楷体_GB2312" w:eastAsia="楷体_GB2312" w:cs="楷体_GB2312"/>
          <w:b w:val="0"/>
          <w:bCs/>
          <w:sz w:val="32"/>
          <w:szCs w:val="32"/>
          <w:highlight w:val="none"/>
          <w:lang w:eastAsia="zh-CN"/>
        </w:rPr>
      </w:pPr>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三）</w:t>
      </w:r>
      <w:r>
        <w:rPr>
          <w:rFonts w:hint="eastAsia" w:ascii="楷体_GB2312" w:hAnsi="楷体_GB2312" w:eastAsia="楷体_GB2312" w:cs="楷体_GB2312"/>
          <w:b w:val="0"/>
          <w:bCs/>
          <w:sz w:val="32"/>
          <w:szCs w:val="32"/>
          <w:highlight w:val="none"/>
          <w:lang w:eastAsia="zh-CN"/>
        </w:rPr>
        <w:t>开标地点</w:t>
      </w:r>
    </w:p>
    <w:p w14:paraId="6FF0C2AF">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highlight w:val="none"/>
        </w:rPr>
        <w:t>深圳市罗湖区笋岗街道田心社区红岭北路2088号招商开元中心A座13层</w:t>
      </w:r>
    </w:p>
    <w:p w14:paraId="6C4E15AB">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楷体_GB2312" w:hAnsi="楷体_GB2312" w:eastAsia="楷体_GB2312" w:cs="楷体_GB2312"/>
          <w:b w:val="0"/>
          <w:bCs/>
          <w:sz w:val="32"/>
          <w:szCs w:val="32"/>
          <w:highlight w:val="none"/>
          <w:lang w:eastAsia="zh-CN"/>
        </w:rPr>
      </w:pPr>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四）</w:t>
      </w:r>
      <w:r>
        <w:rPr>
          <w:rFonts w:hint="eastAsia" w:ascii="楷体_GB2312" w:hAnsi="楷体_GB2312" w:eastAsia="楷体_GB2312" w:cs="楷体_GB2312"/>
          <w:b w:val="0"/>
          <w:bCs/>
          <w:sz w:val="32"/>
          <w:szCs w:val="32"/>
          <w:highlight w:val="none"/>
          <w:lang w:eastAsia="zh-CN"/>
        </w:rPr>
        <w:t>开标程序</w:t>
      </w:r>
    </w:p>
    <w:p w14:paraId="04FE77E9">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eastAsia="仿宋_GB2312" w:cs="仿宋_GB2312"/>
          <w:b w:val="0"/>
          <w:bCs/>
          <w:sz w:val="32"/>
          <w:szCs w:val="32"/>
          <w:highlight w:val="none"/>
        </w:rPr>
        <w:t>招标人工作组进场；</w:t>
      </w:r>
    </w:p>
    <w:p w14:paraId="7E2F9C15">
      <w:pPr>
        <w:pStyle w:val="8"/>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2.</w:t>
      </w:r>
      <w:r>
        <w:rPr>
          <w:rFonts w:hint="eastAsia" w:ascii="仿宋_GB2312" w:hAnsi="仿宋_GB2312" w:eastAsia="仿宋_GB2312" w:cs="仿宋_GB2312"/>
          <w:b w:val="0"/>
          <w:bCs/>
          <w:sz w:val="32"/>
          <w:szCs w:val="32"/>
          <w:highlight w:val="none"/>
        </w:rPr>
        <w:t>招标人监督员、投标人代表检查投标文件密封情况并向工作组组长通报加密情况；</w:t>
      </w:r>
    </w:p>
    <w:p w14:paraId="5C00C1E0">
      <w:pPr>
        <w:pStyle w:val="8"/>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3.</w:t>
      </w:r>
      <w:r>
        <w:rPr>
          <w:rFonts w:hint="eastAsia" w:ascii="仿宋_GB2312" w:hAnsi="仿宋_GB2312" w:eastAsia="仿宋_GB2312" w:cs="仿宋_GB2312"/>
          <w:b w:val="0"/>
          <w:bCs/>
          <w:sz w:val="32"/>
          <w:szCs w:val="32"/>
          <w:highlight w:val="none"/>
        </w:rPr>
        <w:t>招标人工作组组长宣布开标；</w:t>
      </w:r>
    </w:p>
    <w:p w14:paraId="22E36383">
      <w:pPr>
        <w:pStyle w:val="8"/>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4.</w:t>
      </w:r>
      <w:r>
        <w:rPr>
          <w:rFonts w:hint="eastAsia" w:ascii="仿宋_GB2312" w:hAnsi="仿宋_GB2312" w:eastAsia="仿宋_GB2312" w:cs="仿宋_GB2312"/>
          <w:b w:val="0"/>
          <w:bCs/>
          <w:sz w:val="32"/>
          <w:szCs w:val="32"/>
          <w:highlight w:val="none"/>
        </w:rPr>
        <w:t>招标人工作组成员逐一拆开唱标信封，现场唱标并形成《开标记录表》；</w:t>
      </w:r>
    </w:p>
    <w:p w14:paraId="0AF51D77">
      <w:pPr>
        <w:pStyle w:val="8"/>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5.</w:t>
      </w:r>
      <w:r>
        <w:rPr>
          <w:rFonts w:hint="eastAsia" w:ascii="仿宋_GB2312" w:hAnsi="仿宋_GB2312" w:eastAsia="仿宋_GB2312" w:cs="仿宋_GB2312"/>
          <w:b w:val="0"/>
          <w:bCs/>
          <w:sz w:val="32"/>
          <w:szCs w:val="32"/>
          <w:highlight w:val="none"/>
        </w:rPr>
        <w:t>投标人代表确认开标记录，签字确认并离场。</w:t>
      </w:r>
    </w:p>
    <w:p w14:paraId="48871728">
      <w:pPr>
        <w:pStyle w:val="8"/>
        <w:pageBreakBefore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五）</w:t>
      </w:r>
      <w:r>
        <w:rPr>
          <w:rFonts w:hint="eastAsia" w:ascii="楷体_GB2312" w:hAnsi="楷体_GB2312" w:eastAsia="楷体_GB2312" w:cs="楷体_GB2312"/>
          <w:b w:val="0"/>
          <w:bCs/>
          <w:sz w:val="32"/>
          <w:szCs w:val="32"/>
          <w:highlight w:val="none"/>
        </w:rPr>
        <w:t>注意事项</w:t>
      </w:r>
    </w:p>
    <w:p w14:paraId="0D7ECA03">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eastAsia="仿宋_GB2312" w:cs="仿宋_GB2312"/>
          <w:b w:val="0"/>
          <w:bCs/>
          <w:sz w:val="32"/>
          <w:szCs w:val="32"/>
          <w:highlight w:val="none"/>
        </w:rPr>
        <w:t>开标全程由投标人代表、招标人派员监督；</w:t>
      </w:r>
    </w:p>
    <w:p w14:paraId="67BE76D8">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2.</w:t>
      </w:r>
      <w:r>
        <w:rPr>
          <w:rFonts w:hint="eastAsia" w:ascii="仿宋_GB2312" w:hAnsi="仿宋_GB2312" w:eastAsia="仿宋_GB2312" w:cs="仿宋_GB2312"/>
          <w:b w:val="0"/>
          <w:bCs/>
          <w:sz w:val="32"/>
          <w:szCs w:val="32"/>
          <w:highlight w:val="none"/>
        </w:rPr>
        <w:t>开标会议全程录音录像；</w:t>
      </w:r>
    </w:p>
    <w:p w14:paraId="6BCD544B">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3.</w:t>
      </w:r>
      <w:r>
        <w:rPr>
          <w:rFonts w:hint="eastAsia" w:ascii="仿宋_GB2312" w:hAnsi="仿宋_GB2312" w:eastAsia="仿宋_GB2312" w:cs="仿宋_GB2312"/>
          <w:b w:val="0"/>
          <w:bCs/>
          <w:sz w:val="32"/>
          <w:szCs w:val="32"/>
          <w:highlight w:val="none"/>
        </w:rPr>
        <w:t>投标人代表因故未能到场，或到场后中途离场的，视同为投标人主动放弃监督权利且投标人对开标结果完全认可，投标人不得再就此提出质疑或投诉。</w:t>
      </w:r>
    </w:p>
    <w:p w14:paraId="1532C139">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4.实质性响应投标</w:t>
      </w:r>
      <w:r>
        <w:rPr>
          <w:rFonts w:hint="eastAsia" w:ascii="Times New Roman" w:hAnsi="Times New Roman" w:eastAsia="仿宋_GB2312" w:cs="仿宋_GB2312"/>
          <w:b w:val="0"/>
          <w:bCs/>
          <w:sz w:val="32"/>
          <w:szCs w:val="32"/>
          <w:highlight w:val="none"/>
          <w:lang w:val="en-US" w:eastAsia="zh-CN"/>
        </w:rPr>
        <w:t>人少于3家</w:t>
      </w:r>
      <w:r>
        <w:rPr>
          <w:rFonts w:hint="eastAsia" w:ascii="仿宋_GB2312" w:hAnsi="仿宋_GB2312" w:eastAsia="仿宋_GB2312" w:cs="仿宋_GB2312"/>
          <w:b w:val="0"/>
          <w:bCs/>
          <w:sz w:val="32"/>
          <w:szCs w:val="32"/>
          <w:highlight w:val="none"/>
          <w:lang w:val="en-US" w:eastAsia="zh-CN"/>
        </w:rPr>
        <w:t>的，不予开标，根据招标人经营管理需要转其他采购方式。</w:t>
      </w:r>
    </w:p>
    <w:p w14:paraId="377732CC">
      <w:pPr>
        <w:pStyle w:val="4"/>
        <w:pageBreakBefore w:val="0"/>
        <w:kinsoku/>
        <w:wordWrap/>
        <w:overflowPunct/>
        <w:topLinePunct w:val="0"/>
        <w:autoSpaceDE/>
        <w:autoSpaceDN/>
        <w:bidi w:val="0"/>
        <w:spacing w:before="0" w:after="0" w:line="560" w:lineRule="exact"/>
        <w:ind w:left="0" w:firstLine="640" w:firstLineChars="200"/>
        <w:textAlignment w:val="auto"/>
        <w:rPr>
          <w:rFonts w:hint="eastAsia" w:ascii="黑体" w:hAnsi="黑体" w:eastAsia="黑体" w:cs="黑体"/>
          <w:b w:val="0"/>
          <w:bCs/>
          <w:sz w:val="32"/>
          <w:szCs w:val="32"/>
          <w:highlight w:val="none"/>
        </w:rPr>
      </w:pPr>
      <w:bookmarkStart w:id="30" w:name="_Toc7523"/>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二</w:t>
      </w:r>
      <w:r>
        <w:rPr>
          <w:rFonts w:hint="eastAsia" w:ascii="黑体" w:hAnsi="黑体" w:eastAsia="黑体" w:cs="黑体"/>
          <w:b w:val="0"/>
          <w:bCs/>
          <w:sz w:val="32"/>
          <w:szCs w:val="32"/>
          <w:highlight w:val="none"/>
        </w:rPr>
        <w:t>、评标</w:t>
      </w:r>
      <w:bookmarkEnd w:id="30"/>
    </w:p>
    <w:p w14:paraId="73B12F39">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楷体_GB2312" w:hAnsi="楷体_GB2312" w:eastAsia="楷体_GB2312" w:cs="楷体_GB2312"/>
          <w:b w:val="0"/>
          <w:bCs/>
          <w:sz w:val="32"/>
          <w:szCs w:val="32"/>
          <w:highlight w:val="none"/>
        </w:rPr>
      </w:pPr>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一）</w:t>
      </w:r>
      <w:r>
        <w:rPr>
          <w:rFonts w:hint="eastAsia" w:ascii="楷体_GB2312" w:hAnsi="楷体_GB2312" w:eastAsia="楷体_GB2312" w:cs="楷体_GB2312"/>
          <w:b w:val="0"/>
          <w:bCs/>
          <w:sz w:val="32"/>
          <w:szCs w:val="32"/>
          <w:highlight w:val="none"/>
        </w:rPr>
        <w:t>评标方法</w:t>
      </w:r>
    </w:p>
    <w:p w14:paraId="3E7610DB">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本项目采用综合评标法。</w:t>
      </w:r>
    </w:p>
    <w:p w14:paraId="76D6B312">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楷体_GB2312" w:hAnsi="楷体_GB2312" w:eastAsia="楷体_GB2312" w:cs="楷体_GB2312"/>
          <w:b w:val="0"/>
          <w:bCs/>
          <w:sz w:val="32"/>
          <w:szCs w:val="32"/>
          <w:highlight w:val="none"/>
          <w:lang w:eastAsia="zh-CN"/>
        </w:rPr>
      </w:pPr>
      <w:r>
        <w:rPr>
          <w:rFonts w:hint="eastAsia" w:ascii="楷体_GB2312" w:hAnsi="楷体_GB2312" w:eastAsia="楷体_GB2312" w:cs="楷体_GB2312"/>
          <w:b w:val="0"/>
          <w:bCs/>
          <w:sz w:val="32"/>
          <w:szCs w:val="32"/>
          <w:highlight w:val="none"/>
          <w:lang w:eastAsia="zh-CN"/>
        </w:rPr>
        <w:t>（</w:t>
      </w:r>
      <w:r>
        <w:rPr>
          <w:rFonts w:hint="eastAsia" w:ascii="楷体_GB2312" w:hAnsi="楷体_GB2312" w:eastAsia="楷体_GB2312" w:cs="楷体_GB2312"/>
          <w:b w:val="0"/>
          <w:bCs/>
          <w:sz w:val="32"/>
          <w:szCs w:val="32"/>
          <w:highlight w:val="none"/>
          <w:lang w:val="en-US" w:eastAsia="zh-CN"/>
        </w:rPr>
        <w:t>二）</w:t>
      </w:r>
      <w:r>
        <w:rPr>
          <w:rFonts w:hint="eastAsia" w:ascii="楷体_GB2312" w:hAnsi="楷体_GB2312" w:eastAsia="楷体_GB2312" w:cs="楷体_GB2312"/>
          <w:b w:val="0"/>
          <w:bCs/>
          <w:sz w:val="32"/>
          <w:szCs w:val="32"/>
          <w:highlight w:val="none"/>
          <w:lang w:eastAsia="zh-CN"/>
        </w:rPr>
        <w:t>评标细则及标准</w:t>
      </w:r>
    </w:p>
    <w:p w14:paraId="34BB53F3">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lang w:eastAsia="zh-CN"/>
        </w:rPr>
        <w:t>（</w:t>
      </w:r>
      <w:r>
        <w:rPr>
          <w:rFonts w:hint="eastAsia" w:ascii="Times New Roman" w:hAnsi="Times New Roman" w:eastAsia="仿宋_GB2312" w:cs="仿宋"/>
          <w:b w:val="0"/>
          <w:bCs/>
          <w:sz w:val="32"/>
          <w:szCs w:val="32"/>
          <w:highlight w:val="none"/>
        </w:rPr>
        <w:t>见“</w:t>
      </w:r>
      <w:r>
        <w:rPr>
          <w:rFonts w:hint="eastAsia" w:ascii="Times New Roman" w:hAnsi="Times New Roman" w:eastAsia="仿宋_GB2312" w:cs="仿宋"/>
          <w:b w:val="0"/>
          <w:bCs/>
          <w:sz w:val="32"/>
          <w:szCs w:val="32"/>
          <w:highlight w:val="none"/>
          <w:lang w:eastAsia="zh-CN"/>
        </w:rPr>
        <w:t>招标文件</w:t>
      </w:r>
      <w:r>
        <w:rPr>
          <w:rFonts w:hint="eastAsia" w:ascii="Times New Roman" w:hAnsi="Times New Roman" w:eastAsia="仿宋_GB2312" w:cs="仿宋"/>
          <w:b w:val="0"/>
          <w:bCs/>
          <w:sz w:val="32"/>
          <w:szCs w:val="32"/>
          <w:highlight w:val="none"/>
        </w:rPr>
        <w:t xml:space="preserve"> 第二章 评标程序及标准”）</w:t>
      </w:r>
    </w:p>
    <w:p w14:paraId="0A4C5C70">
      <w:pPr>
        <w:pStyle w:val="4"/>
        <w:keepNext w:val="0"/>
        <w:keepLines w:val="0"/>
        <w:pageBreakBefore w:val="0"/>
        <w:widowControl w:val="0"/>
        <w:kinsoku/>
        <w:wordWrap/>
        <w:overflowPunct/>
        <w:topLinePunct w:val="0"/>
        <w:autoSpaceDE/>
        <w:autoSpaceDN/>
        <w:bidi w:val="0"/>
        <w:spacing w:before="0" w:after="0" w:line="560" w:lineRule="exact"/>
        <w:ind w:left="0" w:firstLine="640" w:firstLineChars="200"/>
        <w:textAlignment w:val="auto"/>
        <w:rPr>
          <w:rFonts w:hint="eastAsia" w:ascii="黑体" w:hAnsi="黑体" w:eastAsia="黑体" w:cs="黑体"/>
          <w:b w:val="0"/>
          <w:bCs/>
          <w:sz w:val="32"/>
          <w:szCs w:val="32"/>
          <w:highlight w:val="none"/>
        </w:rPr>
      </w:pPr>
      <w:bookmarkStart w:id="31" w:name="_Toc25353"/>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三</w:t>
      </w:r>
      <w:r>
        <w:rPr>
          <w:rFonts w:hint="eastAsia" w:ascii="黑体" w:hAnsi="黑体" w:eastAsia="黑体" w:cs="黑体"/>
          <w:b w:val="0"/>
          <w:bCs/>
          <w:sz w:val="32"/>
          <w:szCs w:val="32"/>
          <w:highlight w:val="none"/>
        </w:rPr>
        <w:t>、定标</w:t>
      </w:r>
      <w:bookmarkEnd w:id="31"/>
    </w:p>
    <w:p w14:paraId="359766E8">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仿宋" w:hAnsi="仿宋" w:eastAsia="仿宋" w:cs="仿宋"/>
          <w:b w:val="0"/>
          <w:bCs/>
          <w:sz w:val="32"/>
          <w:szCs w:val="32"/>
          <w:highlight w:val="none"/>
        </w:rPr>
      </w:pPr>
      <w:r>
        <w:rPr>
          <w:rFonts w:hint="eastAsia" w:ascii="Times New Roman" w:hAnsi="Times New Roman" w:eastAsia="仿宋_GB2312" w:cs="仿宋"/>
          <w:b w:val="0"/>
          <w:bCs/>
          <w:sz w:val="32"/>
          <w:szCs w:val="32"/>
          <w:highlight w:val="none"/>
          <w:lang w:eastAsia="zh-CN"/>
        </w:rPr>
        <w:t>由招标人招标决策委员会依据评标报告综合评价定标。</w:t>
      </w:r>
    </w:p>
    <w:p w14:paraId="49554875">
      <w:pPr>
        <w:pStyle w:val="4"/>
        <w:keepNext w:val="0"/>
        <w:keepLines w:val="0"/>
        <w:pageBreakBefore w:val="0"/>
        <w:widowControl w:val="0"/>
        <w:kinsoku/>
        <w:wordWrap/>
        <w:overflowPunct/>
        <w:topLinePunct w:val="0"/>
        <w:autoSpaceDE/>
        <w:autoSpaceDN/>
        <w:bidi w:val="0"/>
        <w:spacing w:before="0" w:after="0" w:line="560" w:lineRule="exact"/>
        <w:ind w:left="0" w:firstLine="640" w:firstLineChars="200"/>
        <w:textAlignment w:val="auto"/>
        <w:rPr>
          <w:rFonts w:hint="eastAsia" w:ascii="黑体" w:hAnsi="黑体" w:eastAsia="黑体" w:cs="黑体"/>
          <w:b w:val="0"/>
          <w:bCs/>
          <w:sz w:val="32"/>
          <w:szCs w:val="32"/>
          <w:highlight w:val="none"/>
        </w:rPr>
      </w:pPr>
      <w:bookmarkStart w:id="32" w:name="_Toc9765"/>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四</w:t>
      </w:r>
      <w:r>
        <w:rPr>
          <w:rFonts w:hint="eastAsia" w:ascii="黑体" w:hAnsi="黑体" w:eastAsia="黑体" w:cs="黑体"/>
          <w:b w:val="0"/>
          <w:bCs/>
          <w:sz w:val="32"/>
          <w:szCs w:val="32"/>
          <w:highlight w:val="none"/>
        </w:rPr>
        <w:t>、结算方式</w:t>
      </w:r>
      <w:bookmarkEnd w:id="32"/>
    </w:p>
    <w:p w14:paraId="137DE4BA">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按本文件“</w:t>
      </w:r>
      <w:r>
        <w:rPr>
          <w:rFonts w:hint="eastAsia" w:ascii="Times New Roman" w:hAnsi="Times New Roman" w:eastAsia="仿宋_GB2312" w:cs="仿宋"/>
          <w:b w:val="0"/>
          <w:bCs/>
          <w:sz w:val="32"/>
          <w:szCs w:val="32"/>
          <w:highlight w:val="none"/>
          <w:lang w:eastAsia="zh-CN"/>
        </w:rPr>
        <w:t>招标文件</w:t>
      </w:r>
      <w:r>
        <w:rPr>
          <w:rFonts w:hint="eastAsia" w:ascii="Times New Roman" w:hAnsi="Times New Roman" w:eastAsia="仿宋_GB2312" w:cs="仿宋"/>
          <w:b w:val="0"/>
          <w:bCs/>
          <w:sz w:val="32"/>
          <w:szCs w:val="32"/>
          <w:highlight w:val="none"/>
        </w:rPr>
        <w:t xml:space="preserve"> 第三章 合同条款”约定的结算方式执行。</w:t>
      </w:r>
    </w:p>
    <w:p w14:paraId="0A442761">
      <w:pPr>
        <w:pStyle w:val="4"/>
        <w:pageBreakBefore w:val="0"/>
        <w:kinsoku/>
        <w:wordWrap/>
        <w:overflowPunct/>
        <w:topLinePunct w:val="0"/>
        <w:autoSpaceDE/>
        <w:autoSpaceDN/>
        <w:bidi w:val="0"/>
        <w:spacing w:before="0" w:after="0" w:line="560" w:lineRule="exact"/>
        <w:ind w:left="0" w:firstLine="640" w:firstLineChars="200"/>
        <w:textAlignment w:val="auto"/>
        <w:rPr>
          <w:rFonts w:hint="eastAsia" w:ascii="黑体" w:hAnsi="黑体" w:eastAsia="黑体" w:cs="黑体"/>
          <w:b w:val="0"/>
          <w:bCs/>
          <w:sz w:val="32"/>
          <w:szCs w:val="32"/>
          <w:highlight w:val="none"/>
        </w:rPr>
      </w:pPr>
      <w:bookmarkStart w:id="33" w:name="_Toc17308"/>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五</w:t>
      </w:r>
      <w:r>
        <w:rPr>
          <w:rFonts w:hint="eastAsia" w:ascii="黑体" w:hAnsi="黑体" w:eastAsia="黑体" w:cs="黑体"/>
          <w:b w:val="0"/>
          <w:bCs/>
          <w:sz w:val="32"/>
          <w:szCs w:val="32"/>
          <w:highlight w:val="none"/>
        </w:rPr>
        <w:t>、解释权</w:t>
      </w:r>
      <w:bookmarkEnd w:id="33"/>
    </w:p>
    <w:p w14:paraId="6232DC18">
      <w:pPr>
        <w:pStyle w:val="8"/>
        <w:pageBreakBefore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招标文件解释权归深圳市鹏劳人力资源管理有限公司招标决策委员会所有。</w:t>
      </w:r>
    </w:p>
    <w:p w14:paraId="5D8D9E1F">
      <w:pPr>
        <w:pStyle w:val="13"/>
        <w:pageBreakBefore w:val="0"/>
        <w:kinsoku/>
        <w:overflowPunct/>
        <w:topLinePunct w:val="0"/>
        <w:autoSpaceDE/>
        <w:autoSpaceDN/>
        <w:bidi w:val="0"/>
        <w:spacing w:line="560" w:lineRule="exact"/>
        <w:ind w:firstLine="0" w:firstLineChars="0"/>
        <w:outlineLvl w:val="9"/>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br w:type="page"/>
      </w:r>
    </w:p>
    <w:p w14:paraId="4D908B6A">
      <w:pPr>
        <w:pStyle w:val="3"/>
        <w:pageBreakBefore w:val="0"/>
        <w:kinsoku/>
        <w:overflowPunct/>
        <w:topLinePunct w:val="0"/>
        <w:autoSpaceDE/>
        <w:autoSpaceDN/>
        <w:bidi w:val="0"/>
        <w:spacing w:line="560" w:lineRule="exact"/>
        <w:jc w:val="center"/>
        <w:rPr>
          <w:rFonts w:hint="eastAsia" w:ascii="黑体" w:hAnsi="黑体" w:eastAsia="黑体" w:cs="黑体"/>
          <w:b w:val="0"/>
          <w:bCs/>
          <w:sz w:val="32"/>
          <w:szCs w:val="32"/>
          <w:highlight w:val="none"/>
        </w:rPr>
      </w:pPr>
      <w:bookmarkStart w:id="34" w:name="_Toc25565"/>
      <w:bookmarkStart w:id="35" w:name="_Toc3586"/>
      <w:r>
        <w:rPr>
          <w:rFonts w:hint="eastAsia" w:ascii="黑体" w:hAnsi="黑体" w:eastAsia="黑体" w:cs="黑体"/>
          <w:b w:val="0"/>
          <w:bCs/>
          <w:sz w:val="32"/>
          <w:szCs w:val="32"/>
          <w:highlight w:val="none"/>
        </w:rPr>
        <w:t xml:space="preserve">第二章 </w:t>
      </w:r>
      <w:bookmarkEnd w:id="34"/>
      <w:r>
        <w:rPr>
          <w:rFonts w:hint="eastAsia" w:ascii="黑体" w:hAnsi="黑体" w:eastAsia="黑体" w:cs="黑体"/>
          <w:b w:val="0"/>
          <w:bCs/>
          <w:sz w:val="32"/>
          <w:szCs w:val="32"/>
          <w:highlight w:val="none"/>
        </w:rPr>
        <w:t>评标程序及标准</w:t>
      </w:r>
      <w:bookmarkEnd w:id="35"/>
    </w:p>
    <w:p w14:paraId="3223F1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_GB2312" w:hAnsi="仿宋_GB2312" w:eastAsia="仿宋_GB2312" w:cs="仿宋_GB2312"/>
          <w:b w:val="0"/>
          <w:bCs/>
          <w:sz w:val="32"/>
          <w:szCs w:val="32"/>
          <w:highlight w:val="none"/>
        </w:rPr>
        <w:t>本项目采用综合评估法。是指在最大限度地满足招标文件实质性要求前提下，按照招标文件规定的评审标准进行评审，按评审因素的量化指标评审排序靠前的推荐中标候选人。得分相同的，按投标报价由低到高顺序排列；得分且投标报价相同的，</w:t>
      </w:r>
      <w:r>
        <w:rPr>
          <w:rFonts w:hint="eastAsia" w:ascii="仿宋_GB2312" w:hAnsi="仿宋_GB2312" w:eastAsia="仿宋_GB2312" w:cs="仿宋_GB2312"/>
          <w:b w:val="0"/>
          <w:bCs/>
          <w:sz w:val="32"/>
          <w:szCs w:val="32"/>
          <w:highlight w:val="none"/>
          <w:lang w:val="en-US" w:eastAsia="zh-CN"/>
        </w:rPr>
        <w:t>按</w:t>
      </w:r>
      <w:r>
        <w:rPr>
          <w:rFonts w:hint="eastAsia" w:ascii="仿宋_GB2312" w:hAnsi="仿宋_GB2312" w:eastAsia="仿宋_GB2312" w:cs="仿宋_GB2312"/>
          <w:b w:val="0"/>
          <w:bCs/>
          <w:sz w:val="32"/>
          <w:szCs w:val="32"/>
          <w:highlight w:val="none"/>
        </w:rPr>
        <w:t>商务技术标得分顺序排列；如</w:t>
      </w:r>
      <w:r>
        <w:rPr>
          <w:rFonts w:hint="eastAsia" w:ascii="仿宋_GB2312" w:hAnsi="仿宋_GB2312" w:eastAsia="仿宋_GB2312" w:cs="仿宋_GB2312"/>
          <w:b w:val="0"/>
          <w:bCs/>
          <w:sz w:val="32"/>
          <w:szCs w:val="32"/>
          <w:highlight w:val="none"/>
          <w:lang w:val="en-US" w:eastAsia="zh-CN"/>
        </w:rPr>
        <w:t>商务</w:t>
      </w:r>
      <w:r>
        <w:rPr>
          <w:rFonts w:hint="eastAsia" w:ascii="仿宋_GB2312" w:hAnsi="仿宋_GB2312" w:eastAsia="仿宋_GB2312" w:cs="仿宋_GB2312"/>
          <w:b w:val="0"/>
          <w:bCs/>
          <w:sz w:val="32"/>
          <w:szCs w:val="32"/>
          <w:highlight w:val="none"/>
        </w:rPr>
        <w:t>技术指标或服务方案得分仍然相同，则采用抽签的方法确定中标候选人的排序。具体程序如下：</w:t>
      </w:r>
    </w:p>
    <w:p w14:paraId="6A270A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rPr>
      </w:pPr>
      <w:bookmarkStart w:id="36" w:name="_Toc40445480"/>
      <w:bookmarkStart w:id="37" w:name="_Toc532127158"/>
      <w:r>
        <w:rPr>
          <w:rFonts w:hint="eastAsia" w:ascii="黑体" w:hAnsi="黑体" w:eastAsia="黑体" w:cs="黑体"/>
          <w:b w:val="0"/>
          <w:bCs/>
          <w:sz w:val="32"/>
          <w:szCs w:val="32"/>
          <w:highlight w:val="none"/>
          <w:lang w:val="en-US" w:eastAsia="zh-CN"/>
        </w:rPr>
        <w:t>一、</w:t>
      </w:r>
      <w:r>
        <w:rPr>
          <w:rFonts w:hint="eastAsia" w:ascii="黑体" w:hAnsi="黑体" w:eastAsia="黑体" w:cs="黑体"/>
          <w:b w:val="0"/>
          <w:bCs/>
          <w:sz w:val="32"/>
          <w:szCs w:val="32"/>
          <w:highlight w:val="none"/>
        </w:rPr>
        <w:t>初步评审</w:t>
      </w:r>
      <w:bookmarkEnd w:id="36"/>
      <w:bookmarkEnd w:id="37"/>
    </w:p>
    <w:p w14:paraId="231F35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评标专家组根据投标人</w:t>
      </w:r>
      <w:r>
        <w:rPr>
          <w:rFonts w:hint="eastAsia" w:ascii="仿宋_GB2312" w:hAnsi="仿宋_GB2312" w:eastAsia="仿宋_GB2312" w:cs="仿宋_GB2312"/>
          <w:b w:val="0"/>
          <w:bCs/>
          <w:sz w:val="32"/>
          <w:szCs w:val="32"/>
          <w:highlight w:val="none"/>
          <w:lang w:eastAsia="zh-CN"/>
        </w:rPr>
        <w:t>投标文件</w:t>
      </w:r>
      <w:r>
        <w:rPr>
          <w:rFonts w:hint="eastAsia" w:ascii="仿宋_GB2312" w:hAnsi="仿宋_GB2312" w:eastAsia="仿宋_GB2312" w:cs="仿宋_GB2312"/>
          <w:b w:val="0"/>
          <w:bCs/>
          <w:sz w:val="32"/>
          <w:szCs w:val="32"/>
          <w:highlight w:val="none"/>
        </w:rPr>
        <w:t>进行</w:t>
      </w:r>
      <w:r>
        <w:rPr>
          <w:rFonts w:hint="eastAsia" w:ascii="仿宋_GB2312" w:hAnsi="仿宋_GB2312" w:eastAsia="仿宋_GB2312" w:cs="仿宋_GB2312"/>
          <w:b w:val="0"/>
          <w:bCs/>
          <w:sz w:val="32"/>
          <w:szCs w:val="32"/>
          <w:highlight w:val="none"/>
          <w:lang w:eastAsia="zh-CN"/>
        </w:rPr>
        <w:t>资质</w:t>
      </w:r>
      <w:r>
        <w:rPr>
          <w:rFonts w:hint="eastAsia" w:ascii="仿宋_GB2312" w:hAnsi="仿宋_GB2312" w:eastAsia="仿宋_GB2312" w:cs="仿宋_GB2312"/>
          <w:b w:val="0"/>
          <w:bCs/>
          <w:sz w:val="32"/>
          <w:szCs w:val="32"/>
          <w:highlight w:val="none"/>
        </w:rPr>
        <w:t>核验。有一项不符合评审标准的，评标专家组应否决其投标。</w:t>
      </w:r>
    </w:p>
    <w:p w14:paraId="4A576D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初步评审的结论是“通过”或“不通过”，只有结论为“通过”的投标方能进入下一阶段的评标，否则其投标将按无</w:t>
      </w:r>
      <w:r>
        <w:rPr>
          <w:rFonts w:hint="eastAsia" w:ascii="仿宋_GB2312" w:hAnsi="仿宋_GB2312" w:eastAsia="仿宋_GB2312" w:cs="仿宋_GB2312"/>
          <w:b w:val="0"/>
          <w:bCs/>
          <w:sz w:val="32"/>
          <w:szCs w:val="32"/>
          <w:highlight w:val="none"/>
          <w:lang w:eastAsia="zh-CN"/>
        </w:rPr>
        <w:t>投标无效</w:t>
      </w:r>
      <w:r>
        <w:rPr>
          <w:rFonts w:hint="eastAsia" w:ascii="仿宋_GB2312" w:hAnsi="仿宋_GB2312" w:eastAsia="仿宋_GB2312" w:cs="仿宋_GB2312"/>
          <w:b w:val="0"/>
          <w:bCs/>
          <w:sz w:val="32"/>
          <w:szCs w:val="32"/>
          <w:highlight w:val="none"/>
        </w:rPr>
        <w:t>处理。</w:t>
      </w:r>
    </w:p>
    <w:p w14:paraId="7BE407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bookmarkStart w:id="38" w:name="_bookmark89"/>
      <w:bookmarkEnd w:id="38"/>
      <w:bookmarkStart w:id="39" w:name="_Toc40445481"/>
      <w:bookmarkStart w:id="40" w:name="_Toc532127159"/>
      <w:r>
        <w:rPr>
          <w:rFonts w:hint="eastAsia" w:ascii="黑体" w:hAnsi="黑体" w:eastAsia="黑体" w:cs="黑体"/>
          <w:b w:val="0"/>
          <w:bCs/>
          <w:sz w:val="32"/>
          <w:szCs w:val="32"/>
          <w:highlight w:val="none"/>
          <w:lang w:val="en-US" w:eastAsia="zh-CN"/>
        </w:rPr>
        <w:t>二、详细评审</w:t>
      </w:r>
      <w:bookmarkEnd w:id="39"/>
      <w:bookmarkEnd w:id="40"/>
    </w:p>
    <w:p w14:paraId="06AB1E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一）</w:t>
      </w:r>
      <w:r>
        <w:rPr>
          <w:rFonts w:hint="eastAsia" w:ascii="仿宋_GB2312" w:hAnsi="仿宋_GB2312" w:eastAsia="仿宋_GB2312" w:cs="仿宋_GB2312"/>
          <w:b w:val="0"/>
          <w:bCs/>
          <w:sz w:val="32"/>
          <w:szCs w:val="32"/>
          <w:highlight w:val="none"/>
        </w:rPr>
        <w:t>评标专家组按本章规定的量化因素和分值进行打分并计算出综合评估得分。</w:t>
      </w:r>
    </w:p>
    <w:p w14:paraId="39289A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eastAsia="仿宋_GB2312" w:cs="仿宋_GB2312"/>
          <w:b w:val="0"/>
          <w:bCs/>
          <w:sz w:val="32"/>
          <w:szCs w:val="32"/>
          <w:highlight w:val="none"/>
        </w:rPr>
        <w:t>按本章商务技术标评分标准规定的评审因素和权重对应分值对商务部分计算出得分A；</w:t>
      </w:r>
    </w:p>
    <w:p w14:paraId="4E3882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2.</w:t>
      </w:r>
      <w:r>
        <w:rPr>
          <w:rFonts w:hint="eastAsia" w:ascii="仿宋_GB2312" w:hAnsi="仿宋_GB2312" w:eastAsia="仿宋_GB2312" w:cs="仿宋_GB2312"/>
          <w:b w:val="0"/>
          <w:bCs/>
          <w:sz w:val="32"/>
          <w:szCs w:val="32"/>
          <w:highlight w:val="none"/>
        </w:rPr>
        <w:t>按本章价格标评分方法规定的评审因素和权重对应分值对投标报价计算出得分B；</w:t>
      </w:r>
    </w:p>
    <w:p w14:paraId="1D28E5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3.</w:t>
      </w:r>
      <w:r>
        <w:rPr>
          <w:rFonts w:hint="eastAsia" w:ascii="仿宋_GB2312" w:hAnsi="仿宋_GB2312" w:eastAsia="仿宋_GB2312" w:cs="仿宋_GB2312"/>
          <w:b w:val="0"/>
          <w:bCs/>
          <w:sz w:val="32"/>
          <w:szCs w:val="32"/>
          <w:highlight w:val="none"/>
        </w:rPr>
        <w:t>评分分值计算保留小数点后两位，小数点后第三位“四舍五入”。</w:t>
      </w:r>
    </w:p>
    <w:p w14:paraId="294067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4.</w:t>
      </w:r>
      <w:r>
        <w:rPr>
          <w:rFonts w:hint="eastAsia" w:ascii="仿宋_GB2312" w:hAnsi="仿宋_GB2312" w:eastAsia="仿宋_GB2312" w:cs="仿宋_GB2312"/>
          <w:b w:val="0"/>
          <w:bCs/>
          <w:sz w:val="32"/>
          <w:szCs w:val="32"/>
          <w:highlight w:val="none"/>
        </w:rPr>
        <w:t>投标人得分=A+B。</w:t>
      </w:r>
    </w:p>
    <w:p w14:paraId="545976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二）</w:t>
      </w:r>
      <w:r>
        <w:rPr>
          <w:rFonts w:hint="eastAsia" w:ascii="仿宋_GB2312" w:hAnsi="仿宋_GB2312" w:eastAsia="仿宋_GB2312" w:cs="仿宋_GB2312"/>
          <w:b w:val="0"/>
          <w:bCs/>
          <w:sz w:val="32"/>
          <w:szCs w:val="32"/>
          <w:highlight w:val="none"/>
        </w:rPr>
        <w:t>评标专家组发现投标人的报价明显低于其他投标报价，使得其投标报价可能低于其成本的，应当要求该投标人作出书面说明并提供相应的证明材料。投标人不能合理说明或者不能提供相应证明材料的，由评标专家组认定该投标人以低于成本报价竞标，并否决其投标。</w:t>
      </w:r>
    </w:p>
    <w:p w14:paraId="47BD91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bookmarkStart w:id="41" w:name="_Toc40445482"/>
      <w:bookmarkStart w:id="42" w:name="_Toc532127160"/>
      <w:r>
        <w:rPr>
          <w:rFonts w:hint="eastAsia" w:ascii="黑体" w:hAnsi="黑体" w:eastAsia="黑体" w:cs="黑体"/>
          <w:b w:val="0"/>
          <w:bCs/>
          <w:sz w:val="32"/>
          <w:szCs w:val="32"/>
          <w:highlight w:val="none"/>
          <w:lang w:val="en-US" w:eastAsia="zh-CN"/>
        </w:rPr>
        <w:t>三、投标文件的澄清</w:t>
      </w:r>
      <w:bookmarkEnd w:id="41"/>
      <w:bookmarkEnd w:id="42"/>
    </w:p>
    <w:p w14:paraId="553CCC97">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在评标过程中，评标专家组可以书面形式要求投标人对投标文件中含义不明确、对同类问题表述不一致或者有明显文字和计算错误的内容作必要的澄清、说明或补正。澄清、说明或补正应以电子公文（或书面方式）进行。评标专家组不接受投标人主动提出的澄清、说明或补正。</w:t>
      </w:r>
    </w:p>
    <w:p w14:paraId="67761DC7">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澄清、说明或补正不得超出投标文件的范围且不得改变投标文件的实质性内容，并构成投标文件的组成部分。</w:t>
      </w:r>
    </w:p>
    <w:p w14:paraId="5385CDD7">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评标专家组对投标人提交的澄清、说明或补正有疑问的，可以要求投标人进一步澄清、说明或补正，直至满足评标专家组的要求。</w:t>
      </w:r>
    </w:p>
    <w:p w14:paraId="355BAE1B">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投标文件存在投标报价问题的，评标专家组可以进行投标报价的算术修正，投标报价算术修正按有利于招标人的原则进行。修正后的投标报价经投标人同意后，对投标人起约束作用。如果投标人不接受修正后的报价，其投标将被拒绝。</w:t>
      </w:r>
      <w:bookmarkStart w:id="43" w:name="_Toc532127161"/>
    </w:p>
    <w:p w14:paraId="4FCE91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bookmarkStart w:id="44" w:name="_Toc40445483"/>
      <w:r>
        <w:rPr>
          <w:rFonts w:hint="eastAsia" w:ascii="黑体" w:hAnsi="黑体" w:eastAsia="黑体" w:cs="黑体"/>
          <w:b w:val="0"/>
          <w:bCs/>
          <w:sz w:val="32"/>
          <w:szCs w:val="32"/>
          <w:highlight w:val="none"/>
          <w:lang w:val="en-US" w:eastAsia="zh-CN"/>
        </w:rPr>
        <w:t>四、评标结果</w:t>
      </w:r>
      <w:bookmarkEnd w:id="43"/>
      <w:bookmarkEnd w:id="44"/>
    </w:p>
    <w:p w14:paraId="11B1700F">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评标专家组按照评审分数由低到高的顺序推荐中标候选人，并标明排序。</w:t>
      </w:r>
    </w:p>
    <w:p w14:paraId="3041D12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评标专家组完成评标后，应当向招标决策委员会提交书面评标报告和中标候选人名单。</w:t>
      </w:r>
      <w:bookmarkStart w:id="45" w:name="_Toc532127162"/>
      <w:r>
        <w:rPr>
          <w:rFonts w:hint="eastAsia" w:ascii="Times New Roman" w:hAnsi="Times New Roman" w:eastAsia="仿宋_GB2312" w:cs="仿宋"/>
          <w:b w:val="0"/>
          <w:bCs/>
          <w:sz w:val="32"/>
          <w:szCs w:val="32"/>
          <w:highlight w:val="none"/>
        </w:rPr>
        <w:t>具体程序如下</w:t>
      </w:r>
      <w:r>
        <w:rPr>
          <w:rFonts w:hint="eastAsia" w:ascii="Times New Roman" w:hAnsi="Times New Roman" w:eastAsia="仿宋_GB2312" w:cs="仿宋"/>
          <w:b w:val="0"/>
          <w:bCs/>
          <w:sz w:val="32"/>
          <w:szCs w:val="32"/>
          <w:highlight w:val="none"/>
          <w:lang w:eastAsia="zh-CN"/>
        </w:rPr>
        <w:t>：</w:t>
      </w:r>
    </w:p>
    <w:bookmarkEnd w:id="45"/>
    <w:p w14:paraId="11B48658">
      <w:pPr>
        <w:pageBreakBefore w:val="0"/>
        <w:numPr>
          <w:ilvl w:val="0"/>
          <w:numId w:val="6"/>
        </w:numPr>
        <w:kinsoku/>
        <w:overflowPunct/>
        <w:topLinePunct w:val="0"/>
        <w:autoSpaceDE/>
        <w:autoSpaceDN/>
        <w:bidi w:val="0"/>
        <w:spacing w:line="560" w:lineRule="exact"/>
        <w:ind w:left="0" w:leftChars="0" w:firstLine="640" w:firstLineChars="200"/>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按评审综合得分从高至低的顺序进行排序，向招标人决策委员会推荐评审总得分排名靠前的投标人为中标候选人，推荐数为2家。</w:t>
      </w:r>
    </w:p>
    <w:p w14:paraId="4ABA7C13">
      <w:pPr>
        <w:pageBreakBefore w:val="0"/>
        <w:numPr>
          <w:ilvl w:val="0"/>
          <w:numId w:val="6"/>
        </w:numPr>
        <w:kinsoku/>
        <w:overflowPunct/>
        <w:topLinePunct w:val="0"/>
        <w:autoSpaceDE/>
        <w:autoSpaceDN/>
        <w:bidi w:val="0"/>
        <w:spacing w:line="560" w:lineRule="exact"/>
        <w:ind w:left="0" w:leftChars="0" w:firstLine="640" w:firstLineChars="200"/>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若出现评审综合得分相同的情形，按投标报价由低到高顺序排列；得分且投标报价相同的，按商务技术标得分顺序排列；如商务技术标得分仍然相同，则采用抽签的方法确定中标候选人的排序。</w:t>
      </w:r>
    </w:p>
    <w:p w14:paraId="56E30C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五、转为竞争性谈判的程序</w:t>
      </w:r>
    </w:p>
    <w:p w14:paraId="360FA1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按照</w:t>
      </w:r>
      <w:r>
        <w:rPr>
          <w:rFonts w:hint="eastAsia" w:ascii="仿宋_GB2312" w:hAnsi="仿宋_GB2312" w:eastAsia="仿宋_GB2312" w:cs="仿宋_GB2312"/>
          <w:b w:val="0"/>
          <w:bCs/>
          <w:sz w:val="32"/>
          <w:szCs w:val="32"/>
          <w:highlight w:val="none"/>
        </w:rPr>
        <w:t>法律法规规定执行。</w:t>
      </w:r>
    </w:p>
    <w:p w14:paraId="2DE629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bookmarkStart w:id="46" w:name="_Toc40445485"/>
      <w:bookmarkStart w:id="47" w:name="_Toc532127163"/>
      <w:r>
        <w:rPr>
          <w:rFonts w:hint="eastAsia" w:ascii="黑体" w:hAnsi="黑体" w:eastAsia="黑体" w:cs="黑体"/>
          <w:b w:val="0"/>
          <w:bCs/>
          <w:sz w:val="32"/>
          <w:szCs w:val="32"/>
          <w:highlight w:val="none"/>
          <w:lang w:val="en-US" w:eastAsia="zh-CN"/>
        </w:rPr>
        <w:t>六、附表</w:t>
      </w:r>
      <w:bookmarkEnd w:id="46"/>
      <w:bookmarkEnd w:id="47"/>
    </w:p>
    <w:p w14:paraId="4FDF6E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sz w:val="32"/>
          <w:szCs w:val="32"/>
          <w:highlight w:val="none"/>
          <w:lang w:eastAsia="zh-CN"/>
        </w:rPr>
      </w:pPr>
      <w:r>
        <w:rPr>
          <w:rFonts w:hint="eastAsia" w:ascii="Times New Roman" w:hAnsi="Times New Roman" w:eastAsia="仿宋_GB2312" w:cs="仿宋_GB2312"/>
          <w:b w:val="0"/>
          <w:bCs/>
          <w:sz w:val="32"/>
          <w:szCs w:val="32"/>
          <w:highlight w:val="none"/>
          <w:lang w:eastAsia="zh-CN"/>
        </w:rPr>
        <w:t>附表1-1《商务技术标评审标准》</w:t>
      </w:r>
    </w:p>
    <w:p w14:paraId="54FE0E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sz w:val="32"/>
          <w:szCs w:val="32"/>
          <w:highlight w:val="none"/>
          <w:lang w:eastAsia="zh-CN"/>
        </w:rPr>
      </w:pPr>
      <w:r>
        <w:rPr>
          <w:rFonts w:hint="eastAsia" w:ascii="Times New Roman" w:hAnsi="Times New Roman" w:eastAsia="仿宋_GB2312" w:cs="仿宋_GB2312"/>
          <w:b w:val="0"/>
          <w:bCs/>
          <w:sz w:val="32"/>
          <w:szCs w:val="32"/>
          <w:highlight w:val="none"/>
          <w:lang w:eastAsia="zh-CN"/>
        </w:rPr>
        <w:t>附表2-1《价格标评分方法》</w:t>
      </w:r>
    </w:p>
    <w:p w14:paraId="63052D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_GB2312"/>
          <w:b w:val="0"/>
          <w:bCs/>
          <w:sz w:val="32"/>
          <w:szCs w:val="32"/>
          <w:highlight w:val="none"/>
          <w:lang w:eastAsia="zh-CN"/>
        </w:rPr>
        <w:t>附表3-1《商务技术</w:t>
      </w:r>
      <w:r>
        <w:rPr>
          <w:rFonts w:hint="eastAsia" w:ascii="Times New Roman" w:hAnsi="Times New Roman" w:eastAsia="仿宋_GB2312" w:cs="仿宋_GB2312"/>
          <w:b w:val="0"/>
          <w:bCs/>
          <w:sz w:val="32"/>
          <w:szCs w:val="32"/>
          <w:highlight w:val="none"/>
          <w:lang w:val="en-US" w:eastAsia="zh-CN"/>
        </w:rPr>
        <w:t>标、</w:t>
      </w:r>
      <w:r>
        <w:rPr>
          <w:rFonts w:hint="eastAsia" w:ascii="Times New Roman" w:hAnsi="Times New Roman" w:eastAsia="仿宋_GB2312" w:cs="仿宋_GB2312"/>
          <w:b w:val="0"/>
          <w:bCs/>
          <w:sz w:val="32"/>
          <w:szCs w:val="32"/>
          <w:highlight w:val="none"/>
          <w:lang w:eastAsia="zh-CN"/>
        </w:rPr>
        <w:t>价格标权重表》</w:t>
      </w:r>
    </w:p>
    <w:p w14:paraId="0882EF1B">
      <w:pPr>
        <w:keepNext/>
        <w:keepLines/>
        <w:pageBreakBefore w:val="0"/>
        <w:widowControl/>
        <w:numPr>
          <w:ilvl w:val="3"/>
          <w:numId w:val="0"/>
        </w:numPr>
        <w:kinsoku/>
        <w:wordWrap/>
        <w:overflowPunct/>
        <w:topLinePunct w:val="0"/>
        <w:autoSpaceDE/>
        <w:autoSpaceDN/>
        <w:bidi w:val="0"/>
        <w:adjustRightInd w:val="0"/>
        <w:snapToGrid w:val="0"/>
        <w:spacing w:line="400" w:lineRule="exact"/>
        <w:textAlignment w:val="auto"/>
        <w:outlineLvl w:val="3"/>
        <w:rPr>
          <w:rFonts w:hint="eastAsia" w:ascii="仿宋" w:hAnsi="仿宋" w:eastAsia="仿宋" w:cs="仿宋"/>
          <w:b w:val="0"/>
          <w:bCs/>
          <w:sz w:val="32"/>
          <w:szCs w:val="32"/>
          <w:highlight w:val="none"/>
          <w:lang w:eastAsia="zh-CN"/>
        </w:rPr>
      </w:pPr>
      <w:bookmarkStart w:id="48" w:name="_bookmark91"/>
      <w:bookmarkEnd w:id="48"/>
      <w:bookmarkStart w:id="49" w:name="_bookmark90"/>
      <w:bookmarkEnd w:id="49"/>
      <w:r>
        <w:rPr>
          <w:rFonts w:hint="eastAsia" w:ascii="仿宋" w:hAnsi="仿宋" w:eastAsia="仿宋" w:cs="仿宋"/>
          <w:b w:val="0"/>
          <w:bCs/>
          <w:sz w:val="32"/>
          <w:szCs w:val="32"/>
          <w:highlight w:val="none"/>
        </w:rPr>
        <w:br w:type="page"/>
      </w:r>
      <w:r>
        <w:rPr>
          <w:rFonts w:hint="eastAsia" w:ascii="仿宋" w:hAnsi="仿宋" w:eastAsia="仿宋" w:cs="仿宋"/>
          <w:b w:val="0"/>
          <w:bCs/>
          <w:sz w:val="24"/>
          <w:szCs w:val="24"/>
          <w:highlight w:val="none"/>
        </w:rPr>
        <w:t xml:space="preserve">附表1-1 </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rPr>
        <w:t>商务技术标评审标准</w:t>
      </w:r>
      <w:r>
        <w:rPr>
          <w:rFonts w:hint="eastAsia" w:ascii="仿宋" w:hAnsi="仿宋" w:eastAsia="仿宋" w:cs="仿宋"/>
          <w:b w:val="0"/>
          <w:bCs/>
          <w:sz w:val="24"/>
          <w:szCs w:val="24"/>
          <w:highlight w:val="none"/>
          <w:lang w:eastAsia="zh-CN"/>
        </w:rPr>
        <w:t>》</w:t>
      </w:r>
    </w:p>
    <w:p w14:paraId="0B848BBC">
      <w:pPr>
        <w:pageBreakBefore w:val="0"/>
        <w:widowControl/>
        <w:kinsoku/>
        <w:overflowPunct/>
        <w:topLinePunct w:val="0"/>
        <w:autoSpaceDE/>
        <w:autoSpaceDN/>
        <w:bidi w:val="0"/>
        <w:adjustRightInd w:val="0"/>
        <w:snapToGrid w:val="0"/>
        <w:spacing w:line="560" w:lineRule="exact"/>
        <w:jc w:val="center"/>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商务技术标评审标准</w:t>
      </w:r>
    </w:p>
    <w:tbl>
      <w:tblPr>
        <w:tblStyle w:val="15"/>
        <w:tblW w:w="567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086"/>
        <w:gridCol w:w="7548"/>
        <w:gridCol w:w="866"/>
      </w:tblGrid>
      <w:tr w14:paraId="6056EE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3" w:hRule="atLeast"/>
          <w:tblHeader/>
          <w:jc w:val="center"/>
        </w:trPr>
        <w:tc>
          <w:tcPr>
            <w:tcW w:w="381" w:type="pct"/>
            <w:tcBorders>
              <w:tl2br w:val="nil"/>
              <w:tr2bl w:val="nil"/>
            </w:tcBorders>
            <w:shd w:val="clear" w:color="auto" w:fill="FFFFFF" w:themeFill="background1"/>
            <w:vAlign w:val="center"/>
          </w:tcPr>
          <w:p w14:paraId="1DE1184F">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heme="minorEastAsia"/>
                <w:b/>
                <w:bCs w:val="0"/>
                <w:sz w:val="24"/>
                <w:szCs w:val="24"/>
                <w:highlight w:val="none"/>
              </w:rPr>
            </w:pPr>
            <w:r>
              <w:rPr>
                <w:rFonts w:hint="eastAsia" w:ascii="Times New Roman" w:hAnsi="Times New Roman" w:eastAsia="宋体" w:cstheme="minorEastAsia"/>
                <w:b/>
                <w:bCs w:val="0"/>
                <w:sz w:val="24"/>
                <w:szCs w:val="24"/>
                <w:highlight w:val="none"/>
              </w:rPr>
              <w:t>序号</w:t>
            </w:r>
          </w:p>
        </w:tc>
        <w:tc>
          <w:tcPr>
            <w:tcW w:w="528" w:type="pct"/>
            <w:tcBorders>
              <w:tl2br w:val="nil"/>
              <w:tr2bl w:val="nil"/>
            </w:tcBorders>
            <w:shd w:val="clear" w:color="auto" w:fill="FFFFFF" w:themeFill="background1"/>
            <w:vAlign w:val="center"/>
          </w:tcPr>
          <w:p w14:paraId="070AC457">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heme="minorEastAsia"/>
                <w:b/>
                <w:bCs w:val="0"/>
                <w:sz w:val="24"/>
                <w:szCs w:val="24"/>
                <w:highlight w:val="none"/>
              </w:rPr>
            </w:pPr>
            <w:r>
              <w:rPr>
                <w:rFonts w:hint="eastAsia" w:ascii="Times New Roman" w:hAnsi="Times New Roman" w:eastAsia="宋体" w:cstheme="minorEastAsia"/>
                <w:b/>
                <w:bCs w:val="0"/>
                <w:sz w:val="24"/>
                <w:szCs w:val="24"/>
                <w:highlight w:val="none"/>
              </w:rPr>
              <w:t>评分</w:t>
            </w:r>
          </w:p>
          <w:p w14:paraId="535CFA88">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heme="minorEastAsia"/>
                <w:b/>
                <w:bCs w:val="0"/>
                <w:sz w:val="24"/>
                <w:szCs w:val="24"/>
                <w:highlight w:val="none"/>
              </w:rPr>
            </w:pPr>
            <w:r>
              <w:rPr>
                <w:rFonts w:hint="eastAsia" w:ascii="Times New Roman" w:hAnsi="Times New Roman" w:eastAsia="宋体" w:cstheme="minorEastAsia"/>
                <w:b/>
                <w:bCs w:val="0"/>
                <w:sz w:val="24"/>
                <w:szCs w:val="24"/>
                <w:highlight w:val="none"/>
              </w:rPr>
              <w:t>因素</w:t>
            </w:r>
          </w:p>
        </w:tc>
        <w:tc>
          <w:tcPr>
            <w:tcW w:w="3669" w:type="pct"/>
            <w:tcBorders>
              <w:tl2br w:val="nil"/>
              <w:tr2bl w:val="nil"/>
            </w:tcBorders>
            <w:shd w:val="clear" w:color="auto" w:fill="FFFFFF" w:themeFill="background1"/>
            <w:vAlign w:val="center"/>
          </w:tcPr>
          <w:p w14:paraId="204EF1D1">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heme="minorEastAsia"/>
                <w:b/>
                <w:bCs w:val="0"/>
                <w:sz w:val="24"/>
                <w:szCs w:val="24"/>
                <w:highlight w:val="none"/>
              </w:rPr>
            </w:pPr>
            <w:r>
              <w:rPr>
                <w:rFonts w:hint="eastAsia" w:ascii="Times New Roman" w:hAnsi="Times New Roman" w:eastAsia="宋体" w:cstheme="minorEastAsia"/>
                <w:b/>
                <w:bCs w:val="0"/>
                <w:sz w:val="24"/>
                <w:szCs w:val="24"/>
                <w:highlight w:val="none"/>
              </w:rPr>
              <w:t>评分准则</w:t>
            </w:r>
          </w:p>
        </w:tc>
        <w:tc>
          <w:tcPr>
            <w:tcW w:w="421" w:type="pct"/>
            <w:tcBorders>
              <w:tl2br w:val="nil"/>
              <w:tr2bl w:val="nil"/>
            </w:tcBorders>
            <w:shd w:val="clear" w:color="auto" w:fill="FFFFFF" w:themeFill="background1"/>
            <w:vAlign w:val="center"/>
          </w:tcPr>
          <w:p w14:paraId="0FD0F913">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heme="minorEastAsia"/>
                <w:b/>
                <w:bCs w:val="0"/>
                <w:sz w:val="24"/>
                <w:szCs w:val="24"/>
                <w:highlight w:val="none"/>
              </w:rPr>
            </w:pPr>
            <w:r>
              <w:rPr>
                <w:rFonts w:hint="eastAsia" w:ascii="Times New Roman" w:hAnsi="Times New Roman" w:eastAsia="宋体" w:cstheme="minorEastAsia"/>
                <w:b/>
                <w:bCs w:val="0"/>
                <w:sz w:val="24"/>
                <w:szCs w:val="24"/>
                <w:highlight w:val="none"/>
              </w:rPr>
              <w:t>分值</w:t>
            </w:r>
          </w:p>
        </w:tc>
      </w:tr>
      <w:tr w14:paraId="57BB0D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381" w:type="pct"/>
            <w:tcBorders>
              <w:tl2br w:val="nil"/>
              <w:tr2bl w:val="nil"/>
            </w:tcBorders>
            <w:vAlign w:val="center"/>
          </w:tcPr>
          <w:p w14:paraId="1D889995">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heme="minorEastAsia"/>
                <w:b w:val="0"/>
                <w:bCs/>
                <w:sz w:val="24"/>
                <w:szCs w:val="24"/>
                <w:highlight w:val="none"/>
                <w:lang w:val="en-US" w:eastAsia="zh-CN"/>
              </w:rPr>
            </w:pPr>
            <w:r>
              <w:rPr>
                <w:rFonts w:hint="eastAsia" w:ascii="Times New Roman" w:hAnsi="Times New Roman" w:eastAsia="宋体" w:cstheme="minorEastAsia"/>
                <w:b w:val="0"/>
                <w:bCs/>
                <w:sz w:val="24"/>
                <w:szCs w:val="24"/>
                <w:highlight w:val="none"/>
                <w:lang w:val="en-US" w:eastAsia="zh-CN"/>
              </w:rPr>
              <w:t>1</w:t>
            </w:r>
          </w:p>
        </w:tc>
        <w:tc>
          <w:tcPr>
            <w:tcW w:w="528" w:type="pct"/>
            <w:tcBorders>
              <w:tl2br w:val="nil"/>
              <w:tr2bl w:val="nil"/>
            </w:tcBorders>
            <w:vAlign w:val="center"/>
          </w:tcPr>
          <w:p w14:paraId="1D9DBEF3">
            <w:pPr>
              <w:keepNext w:val="0"/>
              <w:keepLines w:val="0"/>
              <w:pageBreakBefore w:val="0"/>
              <w:kinsoku/>
              <w:wordWrap/>
              <w:overflowPunct/>
              <w:topLinePunct w:val="0"/>
              <w:autoSpaceDE/>
              <w:autoSpaceDN/>
              <w:bidi w:val="0"/>
              <w:snapToGrid w:val="0"/>
              <w:spacing w:line="260" w:lineRule="exact"/>
              <w:jc w:val="center"/>
              <w:textAlignment w:val="auto"/>
              <w:rPr>
                <w:rFonts w:hint="eastAsia" w:ascii="Times New Roman" w:hAnsi="Times New Roman" w:eastAsia="宋体" w:cstheme="minorEastAsia"/>
                <w:b w:val="0"/>
                <w:bCs/>
                <w:sz w:val="22"/>
                <w:szCs w:val="22"/>
                <w:highlight w:val="none"/>
                <w:lang w:eastAsia="zh-CN"/>
              </w:rPr>
            </w:pPr>
            <w:r>
              <w:rPr>
                <w:rFonts w:hint="eastAsia" w:ascii="Times New Roman" w:hAnsi="Times New Roman" w:eastAsia="宋体" w:cstheme="minorEastAsia"/>
                <w:b w:val="0"/>
                <w:bCs/>
                <w:sz w:val="22"/>
                <w:szCs w:val="22"/>
                <w:highlight w:val="none"/>
                <w:lang w:eastAsia="zh-CN"/>
              </w:rPr>
              <w:t>体检项目全面性评价</w:t>
            </w:r>
          </w:p>
        </w:tc>
        <w:tc>
          <w:tcPr>
            <w:tcW w:w="3669" w:type="pct"/>
            <w:tcBorders>
              <w:tl2br w:val="nil"/>
              <w:tr2bl w:val="nil"/>
            </w:tcBorders>
            <w:vAlign w:val="center"/>
          </w:tcPr>
          <w:p w14:paraId="708FF4C2">
            <w:pPr>
              <w:keepNext w:val="0"/>
              <w:keepLines w:val="0"/>
              <w:pageBreakBefore w:val="0"/>
              <w:widowControl/>
              <w:shd w:val="clear" w:color="auto" w:fill="FFFFFF"/>
              <w:kinsoku/>
              <w:wordWrap/>
              <w:overflowPunct/>
              <w:topLinePunct w:val="0"/>
              <w:autoSpaceDE/>
              <w:autoSpaceDN/>
              <w:bidi w:val="0"/>
              <w:adjustRightInd/>
              <w:snapToGrid/>
              <w:spacing w:line="260" w:lineRule="exact"/>
              <w:jc w:val="left"/>
              <w:textAlignment w:val="auto"/>
              <w:rPr>
                <w:rFonts w:hint="eastAsia" w:ascii="Times New Roman" w:hAnsi="Times New Roman" w:eastAsia="宋体" w:cstheme="minorEastAsia"/>
                <w:b w:val="0"/>
                <w:bCs/>
                <w:sz w:val="22"/>
                <w:szCs w:val="22"/>
                <w:highlight w:val="none"/>
                <w:lang w:val="en-US" w:eastAsia="zh-CN"/>
              </w:rPr>
            </w:pPr>
            <w:r>
              <w:rPr>
                <w:rFonts w:hint="eastAsia" w:ascii="Times New Roman" w:hAnsi="Times New Roman" w:eastAsia="宋体" w:cstheme="minorEastAsia"/>
                <w:b/>
                <w:bCs w:val="0"/>
                <w:sz w:val="22"/>
                <w:szCs w:val="22"/>
                <w:highlight w:val="none"/>
                <w:lang w:val="en-US" w:eastAsia="zh-CN"/>
              </w:rPr>
              <w:t>评审标准：</w:t>
            </w:r>
            <w:r>
              <w:rPr>
                <w:rFonts w:hint="eastAsia" w:ascii="Times New Roman" w:hAnsi="Times New Roman" w:eastAsia="宋体" w:cstheme="minorEastAsia"/>
                <w:b w:val="0"/>
                <w:bCs/>
                <w:sz w:val="22"/>
                <w:szCs w:val="22"/>
                <w:highlight w:val="none"/>
                <w:lang w:val="en-US" w:eastAsia="zh-CN"/>
              </w:rPr>
              <w:t>投标人</w:t>
            </w:r>
            <w:r>
              <w:rPr>
                <w:rFonts w:hint="eastAsia" w:ascii="Times New Roman" w:hAnsi="Times New Roman" w:eastAsia="宋体" w:cstheme="minorEastAsia"/>
                <w:b w:val="0"/>
                <w:bCs/>
                <w:sz w:val="22"/>
                <w:szCs w:val="22"/>
                <w:highlight w:val="none"/>
                <w:lang w:eastAsia="zh-CN"/>
              </w:rPr>
              <w:t>能够满足</w:t>
            </w:r>
            <w:r>
              <w:rPr>
                <w:rFonts w:hint="eastAsia" w:ascii="Times New Roman" w:hAnsi="Times New Roman" w:eastAsia="宋体" w:cstheme="minorEastAsia"/>
                <w:b w:val="0"/>
                <w:bCs/>
                <w:sz w:val="22"/>
                <w:szCs w:val="22"/>
                <w:highlight w:val="none"/>
                <w:lang w:val="en-US" w:eastAsia="zh-CN"/>
              </w:rPr>
              <w:t>招标公告附件3各年龄阶段基准体检方案，本评分项得基础分10分，各年龄阶段每增加1项加1分，最高不超过15分；</w:t>
            </w:r>
          </w:p>
          <w:p w14:paraId="1056E5F4">
            <w:pPr>
              <w:keepNext w:val="0"/>
              <w:keepLines w:val="0"/>
              <w:pageBreakBefore w:val="0"/>
              <w:widowControl/>
              <w:shd w:val="clear" w:color="auto" w:fill="FFFFFF"/>
              <w:kinsoku/>
              <w:wordWrap/>
              <w:overflowPunct/>
              <w:topLinePunct w:val="0"/>
              <w:autoSpaceDE/>
              <w:autoSpaceDN/>
              <w:bidi w:val="0"/>
              <w:adjustRightInd/>
              <w:snapToGrid/>
              <w:spacing w:line="260" w:lineRule="exact"/>
              <w:jc w:val="left"/>
              <w:textAlignment w:val="auto"/>
              <w:rPr>
                <w:rFonts w:hint="default" w:ascii="Times New Roman" w:hAnsi="Times New Roman" w:eastAsia="宋体" w:cstheme="minorEastAsia"/>
                <w:b w:val="0"/>
                <w:bCs/>
                <w:sz w:val="22"/>
                <w:szCs w:val="22"/>
                <w:highlight w:val="none"/>
                <w:lang w:val="en-US" w:eastAsia="zh-CN"/>
              </w:rPr>
            </w:pPr>
            <w:r>
              <w:rPr>
                <w:rFonts w:hint="eastAsia" w:ascii="Times New Roman" w:hAnsi="Times New Roman" w:eastAsia="宋体" w:cstheme="minorEastAsia"/>
                <w:b/>
                <w:bCs w:val="0"/>
                <w:sz w:val="22"/>
                <w:szCs w:val="22"/>
                <w:highlight w:val="none"/>
                <w:lang w:val="en-US" w:eastAsia="zh-CN"/>
              </w:rPr>
              <w:t>证明材料：</w:t>
            </w:r>
            <w:r>
              <w:rPr>
                <w:rFonts w:hint="eastAsia" w:ascii="Times New Roman" w:hAnsi="Times New Roman" w:eastAsia="宋体" w:cstheme="minorEastAsia"/>
                <w:b w:val="0"/>
                <w:bCs/>
                <w:sz w:val="22"/>
                <w:szCs w:val="22"/>
                <w:highlight w:val="none"/>
                <w:lang w:val="en-US" w:eastAsia="zh-CN"/>
              </w:rPr>
              <w:t>详见本项目招标公告 附件3《深圳市鹏劳人力资源管理有限公司2025年度员工健康体检项目体检方案及报价表》中各年龄阶段的体检方案。</w:t>
            </w:r>
          </w:p>
        </w:tc>
        <w:tc>
          <w:tcPr>
            <w:tcW w:w="421" w:type="pct"/>
            <w:tcBorders>
              <w:tl2br w:val="nil"/>
              <w:tr2bl w:val="nil"/>
            </w:tcBorders>
            <w:vAlign w:val="center"/>
          </w:tcPr>
          <w:p w14:paraId="7807AFE1">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heme="minorEastAsia"/>
                <w:b w:val="0"/>
                <w:bCs/>
                <w:sz w:val="24"/>
                <w:szCs w:val="24"/>
                <w:highlight w:val="none"/>
                <w:lang w:val="en-US" w:eastAsia="zh-CN"/>
              </w:rPr>
            </w:pPr>
            <w:r>
              <w:rPr>
                <w:rFonts w:hint="eastAsia" w:ascii="Times New Roman" w:hAnsi="Times New Roman" w:eastAsia="宋体" w:cstheme="minorEastAsia"/>
                <w:b w:val="0"/>
                <w:bCs/>
                <w:sz w:val="24"/>
                <w:szCs w:val="24"/>
                <w:highlight w:val="none"/>
                <w:lang w:val="en-US" w:eastAsia="zh-CN"/>
              </w:rPr>
              <w:t>15分</w:t>
            </w:r>
          </w:p>
        </w:tc>
      </w:tr>
      <w:tr w14:paraId="0A68EC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178" w:hRule="atLeast"/>
          <w:jc w:val="center"/>
        </w:trPr>
        <w:tc>
          <w:tcPr>
            <w:tcW w:w="381" w:type="pct"/>
            <w:tcBorders>
              <w:tl2br w:val="nil"/>
              <w:tr2bl w:val="nil"/>
            </w:tcBorders>
            <w:vAlign w:val="center"/>
          </w:tcPr>
          <w:p w14:paraId="655FF213">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heme="minorEastAsia"/>
                <w:b w:val="0"/>
                <w:bCs/>
                <w:sz w:val="24"/>
                <w:szCs w:val="24"/>
                <w:highlight w:val="none"/>
                <w:lang w:val="en-US" w:eastAsia="zh-CN"/>
              </w:rPr>
            </w:pPr>
            <w:r>
              <w:rPr>
                <w:rFonts w:hint="eastAsia" w:ascii="Times New Roman" w:hAnsi="Times New Roman" w:eastAsia="宋体" w:cstheme="minorEastAsia"/>
                <w:b w:val="0"/>
                <w:bCs/>
                <w:sz w:val="24"/>
                <w:szCs w:val="24"/>
                <w:highlight w:val="none"/>
                <w:lang w:val="en-US" w:eastAsia="zh-CN"/>
              </w:rPr>
              <w:t>2</w:t>
            </w:r>
          </w:p>
        </w:tc>
        <w:tc>
          <w:tcPr>
            <w:tcW w:w="528" w:type="pct"/>
            <w:tcBorders>
              <w:tl2br w:val="nil"/>
              <w:tr2bl w:val="nil"/>
            </w:tcBorders>
            <w:vAlign w:val="center"/>
          </w:tcPr>
          <w:p w14:paraId="101860F8">
            <w:pPr>
              <w:keepNext w:val="0"/>
              <w:keepLines w:val="0"/>
              <w:pageBreakBefore w:val="0"/>
              <w:kinsoku/>
              <w:wordWrap/>
              <w:overflowPunct/>
              <w:topLinePunct w:val="0"/>
              <w:autoSpaceDE/>
              <w:autoSpaceDN/>
              <w:bidi w:val="0"/>
              <w:snapToGrid w:val="0"/>
              <w:spacing w:line="260" w:lineRule="exact"/>
              <w:jc w:val="center"/>
              <w:textAlignment w:val="auto"/>
              <w:rPr>
                <w:rFonts w:hint="eastAsia" w:ascii="Times New Roman" w:hAnsi="Times New Roman" w:eastAsia="宋体" w:cstheme="minorEastAsia"/>
                <w:b w:val="0"/>
                <w:bCs/>
                <w:sz w:val="22"/>
                <w:szCs w:val="22"/>
                <w:highlight w:val="none"/>
                <w:lang w:val="en-US" w:eastAsia="zh-CN"/>
              </w:rPr>
            </w:pPr>
            <w:r>
              <w:rPr>
                <w:rFonts w:hint="eastAsia" w:ascii="Times New Roman" w:hAnsi="Times New Roman" w:eastAsia="宋体" w:cstheme="minorEastAsia"/>
                <w:b w:val="0"/>
                <w:bCs/>
                <w:sz w:val="22"/>
                <w:szCs w:val="22"/>
                <w:highlight w:val="none"/>
                <w:lang w:val="en-US" w:eastAsia="zh-CN"/>
              </w:rPr>
              <w:t>响应</w:t>
            </w:r>
          </w:p>
          <w:p w14:paraId="7EF52C83">
            <w:pPr>
              <w:keepNext w:val="0"/>
              <w:keepLines w:val="0"/>
              <w:pageBreakBefore w:val="0"/>
              <w:kinsoku/>
              <w:wordWrap/>
              <w:overflowPunct/>
              <w:topLinePunct w:val="0"/>
              <w:autoSpaceDE/>
              <w:autoSpaceDN/>
              <w:bidi w:val="0"/>
              <w:snapToGrid w:val="0"/>
              <w:spacing w:line="260" w:lineRule="exact"/>
              <w:jc w:val="center"/>
              <w:textAlignment w:val="auto"/>
              <w:rPr>
                <w:rFonts w:hint="default" w:ascii="Times New Roman" w:hAnsi="Times New Roman" w:eastAsia="宋体" w:cstheme="minorEastAsia"/>
                <w:b w:val="0"/>
                <w:bCs/>
                <w:sz w:val="22"/>
                <w:szCs w:val="22"/>
                <w:highlight w:val="none"/>
                <w:lang w:val="en-US" w:eastAsia="zh-CN"/>
              </w:rPr>
            </w:pPr>
            <w:r>
              <w:rPr>
                <w:rFonts w:hint="eastAsia" w:ascii="Times New Roman" w:hAnsi="Times New Roman" w:eastAsia="宋体" w:cstheme="minorEastAsia"/>
                <w:b w:val="0"/>
                <w:bCs/>
                <w:sz w:val="22"/>
                <w:szCs w:val="22"/>
                <w:highlight w:val="none"/>
                <w:lang w:val="en-US" w:eastAsia="zh-CN"/>
              </w:rPr>
              <w:t>偏离</w:t>
            </w:r>
          </w:p>
        </w:tc>
        <w:tc>
          <w:tcPr>
            <w:tcW w:w="3669" w:type="pct"/>
            <w:tcBorders>
              <w:tl2br w:val="nil"/>
              <w:tr2bl w:val="nil"/>
            </w:tcBorders>
            <w:vAlign w:val="center"/>
          </w:tcPr>
          <w:p w14:paraId="76813E9B">
            <w:pPr>
              <w:keepNext w:val="0"/>
              <w:keepLines w:val="0"/>
              <w:pageBreakBefore w:val="0"/>
              <w:widowControl w:val="0"/>
              <w:shd w:val="clear" w:color="auto" w:fill="FFFFFF"/>
              <w:kinsoku/>
              <w:wordWrap w:val="0"/>
              <w:overflowPunct/>
              <w:topLinePunct/>
              <w:autoSpaceDE/>
              <w:autoSpaceDN/>
              <w:bidi w:val="0"/>
              <w:adjustRightInd/>
              <w:spacing w:line="280" w:lineRule="exact"/>
              <w:ind w:firstLine="0" w:firstLineChars="0"/>
              <w:jc w:val="left"/>
              <w:textAlignment w:val="auto"/>
              <w:rPr>
                <w:rFonts w:hint="eastAsia" w:ascii="Times New Roman" w:hAnsi="Times New Roman" w:eastAsia="宋体" w:cs="仿宋_GB2312"/>
                <w:bCs/>
                <w:sz w:val="22"/>
                <w:szCs w:val="22"/>
                <w:highlight w:val="none"/>
              </w:rPr>
            </w:pPr>
            <w:r>
              <w:rPr>
                <w:rFonts w:hint="eastAsia" w:ascii="Times New Roman" w:hAnsi="Times New Roman" w:eastAsia="宋体" w:cstheme="minorEastAsia"/>
                <w:b/>
                <w:bCs w:val="0"/>
                <w:sz w:val="22"/>
                <w:szCs w:val="22"/>
                <w:highlight w:val="none"/>
                <w:lang w:val="en-US" w:eastAsia="zh-CN"/>
              </w:rPr>
              <w:t>评审标准：</w:t>
            </w:r>
            <w:r>
              <w:rPr>
                <w:rFonts w:hint="eastAsia" w:ascii="Times New Roman" w:hAnsi="Times New Roman" w:eastAsia="宋体" w:cs="仿宋_GB2312"/>
                <w:bCs/>
                <w:sz w:val="22"/>
                <w:szCs w:val="22"/>
                <w:highlight w:val="none"/>
              </w:rPr>
              <w:t>根据投标人填制的《招标文件响应偏离表》实施打分，具体如下：</w:t>
            </w:r>
          </w:p>
          <w:p w14:paraId="15364821">
            <w:pPr>
              <w:keepNext w:val="0"/>
              <w:keepLines w:val="0"/>
              <w:pageBreakBefore w:val="0"/>
              <w:widowControl w:val="0"/>
              <w:numPr>
                <w:ilvl w:val="0"/>
                <w:numId w:val="7"/>
              </w:numPr>
              <w:shd w:val="clear" w:color="auto" w:fill="FFFFFF"/>
              <w:kinsoku/>
              <w:wordWrap w:val="0"/>
              <w:overflowPunct/>
              <w:topLinePunct/>
              <w:autoSpaceDE/>
              <w:autoSpaceDN/>
              <w:bidi w:val="0"/>
              <w:adjustRightInd/>
              <w:spacing w:line="280" w:lineRule="exact"/>
              <w:ind w:left="0" w:leftChars="0" w:firstLine="440" w:firstLineChars="200"/>
              <w:jc w:val="left"/>
              <w:textAlignment w:val="auto"/>
              <w:rPr>
                <w:rFonts w:hint="eastAsia" w:ascii="Times New Roman" w:hAnsi="Times New Roman" w:eastAsia="宋体" w:cs="仿宋_GB2312"/>
                <w:bCs/>
                <w:sz w:val="22"/>
                <w:szCs w:val="22"/>
                <w:highlight w:val="none"/>
              </w:rPr>
            </w:pPr>
            <w:r>
              <w:rPr>
                <w:rFonts w:hint="eastAsia" w:ascii="Times New Roman" w:hAnsi="Times New Roman" w:eastAsia="宋体" w:cs="仿宋_GB2312"/>
                <w:bCs/>
                <w:sz w:val="22"/>
                <w:szCs w:val="22"/>
                <w:highlight w:val="none"/>
              </w:rPr>
              <w:t>对招标文件所有内容无偏离，此项得</w:t>
            </w:r>
            <w:r>
              <w:rPr>
                <w:rFonts w:hint="eastAsia" w:ascii="Times New Roman" w:hAnsi="Times New Roman" w:eastAsia="宋体" w:cs="仿宋_GB2312"/>
                <w:bCs/>
                <w:sz w:val="22"/>
                <w:szCs w:val="22"/>
                <w:highlight w:val="none"/>
                <w:lang w:val="en-US" w:eastAsia="zh-CN"/>
              </w:rPr>
              <w:t>5</w:t>
            </w:r>
            <w:r>
              <w:rPr>
                <w:rFonts w:hint="eastAsia" w:ascii="Times New Roman" w:hAnsi="Times New Roman" w:eastAsia="宋体" w:cs="仿宋_GB2312"/>
                <w:bCs/>
                <w:sz w:val="22"/>
                <w:szCs w:val="22"/>
                <w:highlight w:val="none"/>
              </w:rPr>
              <w:t>分；</w:t>
            </w:r>
          </w:p>
          <w:p w14:paraId="00AB432F">
            <w:pPr>
              <w:keepNext w:val="0"/>
              <w:keepLines w:val="0"/>
              <w:pageBreakBefore w:val="0"/>
              <w:widowControl w:val="0"/>
              <w:numPr>
                <w:ilvl w:val="0"/>
                <w:numId w:val="7"/>
              </w:numPr>
              <w:shd w:val="clear" w:color="auto" w:fill="FFFFFF"/>
              <w:kinsoku/>
              <w:wordWrap w:val="0"/>
              <w:overflowPunct/>
              <w:topLinePunct/>
              <w:autoSpaceDE/>
              <w:autoSpaceDN/>
              <w:bidi w:val="0"/>
              <w:adjustRightInd/>
              <w:spacing w:line="280" w:lineRule="exact"/>
              <w:ind w:left="0" w:leftChars="0" w:firstLine="440" w:firstLineChars="200"/>
              <w:jc w:val="left"/>
              <w:textAlignment w:val="auto"/>
              <w:rPr>
                <w:rFonts w:hint="eastAsia" w:ascii="Times New Roman" w:hAnsi="Times New Roman" w:eastAsia="宋体" w:cs="仿宋_GB2312"/>
                <w:bCs/>
                <w:sz w:val="22"/>
                <w:szCs w:val="22"/>
                <w:highlight w:val="none"/>
              </w:rPr>
            </w:pPr>
            <w:r>
              <w:rPr>
                <w:rFonts w:hint="eastAsia" w:ascii="Times New Roman" w:hAnsi="Times New Roman" w:eastAsia="宋体" w:cs="仿宋_GB2312"/>
                <w:bCs/>
                <w:sz w:val="22"/>
                <w:szCs w:val="22"/>
                <w:highlight w:val="none"/>
              </w:rPr>
              <w:t>每出现1项负偏离扣</w:t>
            </w:r>
            <w:r>
              <w:rPr>
                <w:rFonts w:hint="eastAsia" w:ascii="Times New Roman" w:hAnsi="Times New Roman" w:eastAsia="宋体" w:cs="仿宋_GB2312"/>
                <w:bCs/>
                <w:sz w:val="22"/>
                <w:szCs w:val="22"/>
                <w:highlight w:val="none"/>
                <w:lang w:val="en-US" w:eastAsia="zh-CN"/>
              </w:rPr>
              <w:t>2</w:t>
            </w:r>
            <w:r>
              <w:rPr>
                <w:rFonts w:hint="eastAsia" w:ascii="Times New Roman" w:hAnsi="Times New Roman" w:eastAsia="宋体" w:cs="仿宋_GB2312"/>
                <w:bCs/>
                <w:sz w:val="22"/>
                <w:szCs w:val="22"/>
                <w:highlight w:val="none"/>
              </w:rPr>
              <w:t>分，合计出现</w:t>
            </w:r>
            <w:r>
              <w:rPr>
                <w:rFonts w:hint="eastAsia" w:ascii="Times New Roman" w:hAnsi="Times New Roman" w:eastAsia="宋体" w:cs="仿宋_GB2312"/>
                <w:bCs/>
                <w:sz w:val="22"/>
                <w:szCs w:val="22"/>
                <w:highlight w:val="none"/>
                <w:lang w:val="en-US" w:eastAsia="zh-CN"/>
              </w:rPr>
              <w:t>2</w:t>
            </w:r>
            <w:r>
              <w:rPr>
                <w:rFonts w:hint="eastAsia" w:ascii="Times New Roman" w:hAnsi="Times New Roman" w:eastAsia="宋体" w:cs="仿宋_GB2312"/>
                <w:bCs/>
                <w:sz w:val="22"/>
                <w:szCs w:val="22"/>
                <w:highlight w:val="none"/>
              </w:rPr>
              <w:t>项及以上偏离，此项不得分；</w:t>
            </w:r>
          </w:p>
          <w:p w14:paraId="7B63DFBC">
            <w:pPr>
              <w:keepNext w:val="0"/>
              <w:keepLines w:val="0"/>
              <w:pageBreakBefore w:val="0"/>
              <w:widowControl w:val="0"/>
              <w:numPr>
                <w:ilvl w:val="0"/>
                <w:numId w:val="7"/>
              </w:numPr>
              <w:shd w:val="clear" w:color="auto" w:fill="FFFFFF"/>
              <w:kinsoku/>
              <w:wordWrap w:val="0"/>
              <w:overflowPunct/>
              <w:topLinePunct/>
              <w:autoSpaceDE/>
              <w:autoSpaceDN/>
              <w:bidi w:val="0"/>
              <w:adjustRightInd/>
              <w:spacing w:line="280" w:lineRule="exact"/>
              <w:ind w:left="0" w:leftChars="0" w:firstLine="440" w:firstLineChars="200"/>
              <w:jc w:val="left"/>
              <w:textAlignment w:val="auto"/>
              <w:rPr>
                <w:rFonts w:hint="eastAsia" w:ascii="Times New Roman" w:hAnsi="Times New Roman" w:eastAsia="宋体" w:cs="仿宋_GB2312"/>
                <w:bCs/>
                <w:sz w:val="22"/>
                <w:szCs w:val="22"/>
                <w:highlight w:val="none"/>
              </w:rPr>
            </w:pPr>
            <w:r>
              <w:rPr>
                <w:rFonts w:hint="eastAsia" w:ascii="Times New Roman" w:hAnsi="Times New Roman" w:eastAsia="宋体" w:cs="仿宋_GB2312"/>
                <w:bCs/>
                <w:sz w:val="22"/>
                <w:szCs w:val="22"/>
                <w:highlight w:val="none"/>
              </w:rPr>
              <w:t>每出现1项正偏离加</w:t>
            </w:r>
            <w:r>
              <w:rPr>
                <w:rFonts w:hint="eastAsia" w:ascii="Times New Roman" w:hAnsi="Times New Roman" w:eastAsia="宋体" w:cs="仿宋_GB2312"/>
                <w:bCs/>
                <w:sz w:val="22"/>
                <w:szCs w:val="22"/>
                <w:highlight w:val="none"/>
                <w:lang w:val="en-US" w:eastAsia="zh-CN"/>
              </w:rPr>
              <w:t>2</w:t>
            </w:r>
            <w:r>
              <w:rPr>
                <w:rFonts w:hint="eastAsia" w:ascii="Times New Roman" w:hAnsi="Times New Roman" w:eastAsia="宋体" w:cs="仿宋_GB2312"/>
                <w:bCs/>
                <w:sz w:val="22"/>
                <w:szCs w:val="22"/>
                <w:highlight w:val="none"/>
              </w:rPr>
              <w:t>分，最高不超过</w:t>
            </w:r>
            <w:r>
              <w:rPr>
                <w:rFonts w:hint="eastAsia" w:ascii="Times New Roman" w:hAnsi="Times New Roman" w:eastAsia="宋体" w:cs="仿宋_GB2312"/>
                <w:bCs/>
                <w:sz w:val="22"/>
                <w:szCs w:val="22"/>
                <w:highlight w:val="none"/>
                <w:lang w:val="en-US" w:eastAsia="zh-CN"/>
              </w:rPr>
              <w:t>5</w:t>
            </w:r>
            <w:r>
              <w:rPr>
                <w:rFonts w:hint="eastAsia" w:ascii="Times New Roman" w:hAnsi="Times New Roman" w:eastAsia="宋体" w:cs="仿宋_GB2312"/>
                <w:bCs/>
                <w:sz w:val="22"/>
                <w:szCs w:val="22"/>
                <w:highlight w:val="none"/>
              </w:rPr>
              <w:t>分；</w:t>
            </w:r>
          </w:p>
          <w:p w14:paraId="7D1A94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宋体" w:cstheme="minorEastAsia"/>
                <w:b w:val="0"/>
                <w:bCs/>
                <w:sz w:val="22"/>
                <w:szCs w:val="22"/>
                <w:highlight w:val="none"/>
                <w:lang w:val="en-US" w:eastAsia="zh-CN"/>
              </w:rPr>
            </w:pPr>
            <w:r>
              <w:rPr>
                <w:rFonts w:hint="eastAsia" w:ascii="Times New Roman" w:hAnsi="Times New Roman" w:eastAsia="宋体" w:cs="宋体"/>
                <w:b/>
                <w:bCs w:val="0"/>
                <w:sz w:val="20"/>
                <w:szCs w:val="20"/>
                <w:highlight w:val="none"/>
                <w:lang w:val="en-US" w:eastAsia="zh-CN"/>
              </w:rPr>
              <w:t>证明材料：</w:t>
            </w:r>
            <w:r>
              <w:rPr>
                <w:rFonts w:hint="eastAsia" w:ascii="Times New Roman" w:hAnsi="Times New Roman" w:eastAsia="宋体" w:cs="仿宋_GB2312"/>
                <w:b w:val="0"/>
                <w:bCs/>
                <w:sz w:val="22"/>
                <w:szCs w:val="22"/>
                <w:highlight w:val="none"/>
                <w:lang w:val="en-US" w:eastAsia="zh-CN"/>
              </w:rPr>
              <w:t>需</w:t>
            </w:r>
            <w:r>
              <w:rPr>
                <w:rFonts w:hint="eastAsia" w:ascii="Times New Roman" w:hAnsi="Times New Roman" w:eastAsia="宋体" w:cs="仿宋_GB2312"/>
                <w:b w:val="0"/>
                <w:bCs/>
                <w:sz w:val="22"/>
                <w:szCs w:val="22"/>
                <w:highlight w:val="none"/>
              </w:rPr>
              <w:t>提供</w:t>
            </w:r>
            <w:r>
              <w:rPr>
                <w:rFonts w:hint="eastAsia" w:ascii="Times New Roman" w:hAnsi="Times New Roman" w:eastAsia="宋体" w:cs="仿宋_GB2312"/>
                <w:bCs/>
                <w:sz w:val="22"/>
                <w:szCs w:val="22"/>
                <w:highlight w:val="none"/>
              </w:rPr>
              <w:t>的加盖投标人公章的</w:t>
            </w:r>
            <w:r>
              <w:rPr>
                <w:rFonts w:hint="eastAsia" w:ascii="Times New Roman" w:hAnsi="Times New Roman" w:eastAsia="宋体" w:cs="仿宋_GB2312"/>
                <w:bCs/>
                <w:sz w:val="22"/>
                <w:szCs w:val="22"/>
                <w:highlight w:val="none"/>
                <w:lang w:eastAsia="zh-CN"/>
              </w:rPr>
              <w:t>《</w:t>
            </w:r>
            <w:r>
              <w:rPr>
                <w:rFonts w:hint="eastAsia" w:ascii="Times New Roman" w:hAnsi="Times New Roman" w:eastAsia="宋体" w:cs="仿宋_GB2312"/>
                <w:bCs/>
                <w:sz w:val="22"/>
                <w:szCs w:val="22"/>
                <w:highlight w:val="none"/>
                <w:lang w:val="en-US" w:eastAsia="zh-CN"/>
              </w:rPr>
              <w:t>招标文件响应偏离表</w:t>
            </w:r>
            <w:r>
              <w:rPr>
                <w:rFonts w:hint="eastAsia" w:ascii="Times New Roman" w:hAnsi="Times New Roman" w:eastAsia="宋体" w:cs="仿宋_GB2312"/>
                <w:bCs/>
                <w:sz w:val="22"/>
                <w:szCs w:val="22"/>
                <w:highlight w:val="none"/>
                <w:lang w:eastAsia="zh-CN"/>
              </w:rPr>
              <w:t>》</w:t>
            </w:r>
            <w:r>
              <w:rPr>
                <w:rFonts w:hint="eastAsia" w:ascii="Times New Roman" w:hAnsi="Times New Roman" w:eastAsia="宋体" w:cs="仿宋_GB2312"/>
                <w:bCs/>
                <w:sz w:val="22"/>
                <w:szCs w:val="22"/>
                <w:highlight w:val="none"/>
                <w:lang w:val="en-US" w:eastAsia="zh-CN"/>
              </w:rPr>
              <w:t>作为评审依据。</w:t>
            </w:r>
            <w:r>
              <w:rPr>
                <w:rFonts w:hint="eastAsia" w:ascii="Times New Roman" w:hAnsi="Times New Roman" w:eastAsia="宋体" w:cs="仿宋_GB2312"/>
                <w:b w:val="0"/>
                <w:bCs/>
                <w:smallCaps w:val="0"/>
                <w:color w:val="auto"/>
                <w:sz w:val="22"/>
                <w:szCs w:val="22"/>
                <w:highlight w:val="none"/>
                <w:lang w:val="en-US" w:eastAsia="zh-CN"/>
              </w:rPr>
              <w:t xml:space="preserve">“格式参见本招标文件“第四章 投标文件格式 格式4 </w:t>
            </w:r>
            <w:r>
              <w:rPr>
                <w:rFonts w:hint="eastAsia" w:ascii="Times New Roman" w:hAnsi="Times New Roman" w:eastAsia="宋体" w:cs="仿宋_GB2312"/>
                <w:bCs/>
                <w:sz w:val="22"/>
                <w:szCs w:val="22"/>
                <w:highlight w:val="none"/>
                <w:lang w:val="en-US" w:eastAsia="zh-CN"/>
              </w:rPr>
              <w:t>招标文件响应情况偏离表</w:t>
            </w:r>
            <w:r>
              <w:rPr>
                <w:rFonts w:hint="eastAsia" w:ascii="Times New Roman" w:hAnsi="Times New Roman" w:eastAsia="宋体" w:cs="仿宋_GB2312"/>
                <w:b w:val="0"/>
                <w:bCs/>
                <w:smallCaps w:val="0"/>
                <w:color w:val="auto"/>
                <w:sz w:val="22"/>
                <w:szCs w:val="22"/>
                <w:highlight w:val="none"/>
                <w:lang w:val="en-US" w:eastAsia="zh-CN"/>
              </w:rPr>
              <w:t>”</w:t>
            </w:r>
            <w:r>
              <w:rPr>
                <w:rFonts w:hint="eastAsia" w:ascii="Times New Roman" w:hAnsi="Times New Roman" w:eastAsia="宋体" w:cstheme="minorEastAsia"/>
                <w:b w:val="0"/>
                <w:bCs/>
                <w:smallCaps w:val="0"/>
                <w:color w:val="auto"/>
                <w:sz w:val="20"/>
                <w:szCs w:val="20"/>
                <w:highlight w:val="none"/>
                <w:lang w:val="en-US" w:eastAsia="zh-CN"/>
              </w:rPr>
              <w:t>。</w:t>
            </w:r>
          </w:p>
        </w:tc>
        <w:tc>
          <w:tcPr>
            <w:tcW w:w="421" w:type="pct"/>
            <w:tcBorders>
              <w:tl2br w:val="nil"/>
              <w:tr2bl w:val="nil"/>
            </w:tcBorders>
            <w:vAlign w:val="center"/>
          </w:tcPr>
          <w:p w14:paraId="7B5998DD">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heme="minorEastAsia"/>
                <w:b w:val="0"/>
                <w:bCs/>
                <w:sz w:val="24"/>
                <w:szCs w:val="24"/>
                <w:highlight w:val="none"/>
                <w:lang w:val="en-US" w:eastAsia="zh-CN"/>
              </w:rPr>
            </w:pPr>
            <w:r>
              <w:rPr>
                <w:rFonts w:hint="eastAsia" w:ascii="Times New Roman" w:hAnsi="Times New Roman" w:eastAsia="宋体" w:cstheme="minorEastAsia"/>
                <w:b w:val="0"/>
                <w:bCs/>
                <w:sz w:val="24"/>
                <w:szCs w:val="24"/>
                <w:highlight w:val="none"/>
                <w:lang w:val="en-US" w:eastAsia="zh-CN"/>
              </w:rPr>
              <w:t>10分</w:t>
            </w:r>
          </w:p>
        </w:tc>
      </w:tr>
      <w:tr w14:paraId="541994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50" w:hRule="atLeast"/>
          <w:jc w:val="center"/>
        </w:trPr>
        <w:tc>
          <w:tcPr>
            <w:tcW w:w="381" w:type="pct"/>
            <w:tcBorders>
              <w:tl2br w:val="nil"/>
              <w:tr2bl w:val="nil"/>
            </w:tcBorders>
            <w:vAlign w:val="center"/>
          </w:tcPr>
          <w:p w14:paraId="6BAB0B63">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heme="minorEastAsia"/>
                <w:b w:val="0"/>
                <w:bCs/>
                <w:sz w:val="24"/>
                <w:szCs w:val="24"/>
                <w:highlight w:val="none"/>
                <w:lang w:val="en-US" w:eastAsia="zh-CN"/>
              </w:rPr>
            </w:pPr>
            <w:r>
              <w:rPr>
                <w:rFonts w:hint="eastAsia" w:ascii="Times New Roman" w:hAnsi="Times New Roman" w:eastAsia="宋体" w:cstheme="minorEastAsia"/>
                <w:b w:val="0"/>
                <w:bCs/>
                <w:sz w:val="24"/>
                <w:szCs w:val="24"/>
                <w:highlight w:val="none"/>
                <w:lang w:val="en-US" w:eastAsia="zh-CN"/>
              </w:rPr>
              <w:t>3</w:t>
            </w:r>
          </w:p>
        </w:tc>
        <w:tc>
          <w:tcPr>
            <w:tcW w:w="528" w:type="pct"/>
            <w:tcBorders>
              <w:tl2br w:val="nil"/>
              <w:tr2bl w:val="nil"/>
            </w:tcBorders>
            <w:vAlign w:val="center"/>
          </w:tcPr>
          <w:p w14:paraId="325D50EE">
            <w:pPr>
              <w:keepNext w:val="0"/>
              <w:keepLines w:val="0"/>
              <w:pageBreakBefore w:val="0"/>
              <w:kinsoku/>
              <w:wordWrap/>
              <w:overflowPunct/>
              <w:topLinePunct w:val="0"/>
              <w:autoSpaceDE/>
              <w:autoSpaceDN/>
              <w:bidi w:val="0"/>
              <w:snapToGrid w:val="0"/>
              <w:spacing w:line="260" w:lineRule="exact"/>
              <w:jc w:val="center"/>
              <w:textAlignment w:val="auto"/>
              <w:rPr>
                <w:rFonts w:hint="eastAsia" w:ascii="Times New Roman" w:hAnsi="Times New Roman" w:eastAsia="宋体" w:cstheme="minorEastAsia"/>
                <w:b w:val="0"/>
                <w:bCs/>
                <w:sz w:val="22"/>
                <w:szCs w:val="22"/>
                <w:highlight w:val="none"/>
                <w:lang w:val="en-US" w:eastAsia="zh-CN"/>
              </w:rPr>
            </w:pPr>
            <w:r>
              <w:rPr>
                <w:rFonts w:hint="eastAsia" w:ascii="Times New Roman" w:hAnsi="Times New Roman" w:eastAsia="宋体" w:cstheme="minorEastAsia"/>
                <w:b w:val="0"/>
                <w:bCs/>
                <w:sz w:val="22"/>
                <w:szCs w:val="22"/>
                <w:highlight w:val="none"/>
                <w:lang w:val="en-US" w:eastAsia="zh-CN"/>
              </w:rPr>
              <w:t>服务</w:t>
            </w:r>
          </w:p>
          <w:p w14:paraId="5218EF63">
            <w:pPr>
              <w:keepNext w:val="0"/>
              <w:keepLines w:val="0"/>
              <w:pageBreakBefore w:val="0"/>
              <w:kinsoku/>
              <w:wordWrap/>
              <w:overflowPunct/>
              <w:topLinePunct w:val="0"/>
              <w:autoSpaceDE/>
              <w:autoSpaceDN/>
              <w:bidi w:val="0"/>
              <w:snapToGrid w:val="0"/>
              <w:spacing w:line="260" w:lineRule="exact"/>
              <w:jc w:val="center"/>
              <w:textAlignment w:val="auto"/>
              <w:rPr>
                <w:rFonts w:hint="default" w:ascii="Times New Roman" w:hAnsi="Times New Roman" w:eastAsia="宋体" w:cstheme="minorEastAsia"/>
                <w:b w:val="0"/>
                <w:bCs/>
                <w:sz w:val="22"/>
                <w:szCs w:val="22"/>
                <w:highlight w:val="none"/>
                <w:lang w:val="en-US" w:eastAsia="zh-CN"/>
              </w:rPr>
            </w:pPr>
            <w:r>
              <w:rPr>
                <w:rFonts w:hint="eastAsia" w:ascii="Times New Roman" w:hAnsi="Times New Roman" w:eastAsia="宋体" w:cstheme="minorEastAsia"/>
                <w:b w:val="0"/>
                <w:bCs/>
                <w:sz w:val="22"/>
                <w:szCs w:val="22"/>
                <w:highlight w:val="none"/>
                <w:lang w:val="en-US" w:eastAsia="zh-CN"/>
              </w:rPr>
              <w:t>方案</w:t>
            </w:r>
          </w:p>
        </w:tc>
        <w:tc>
          <w:tcPr>
            <w:tcW w:w="3669" w:type="pct"/>
            <w:tcBorders>
              <w:tl2br w:val="nil"/>
              <w:tr2bl w:val="nil"/>
            </w:tcBorders>
            <w:vAlign w:val="center"/>
          </w:tcPr>
          <w:p w14:paraId="14124358">
            <w:pPr>
              <w:keepNext w:val="0"/>
              <w:keepLines w:val="0"/>
              <w:pageBreakBefore w:val="0"/>
              <w:widowControl/>
              <w:shd w:val="clear" w:color="auto" w:fill="FFFFFF"/>
              <w:kinsoku/>
              <w:wordWrap/>
              <w:overflowPunct/>
              <w:topLinePunct w:val="0"/>
              <w:autoSpaceDE/>
              <w:autoSpaceDN/>
              <w:bidi w:val="0"/>
              <w:adjustRightInd/>
              <w:snapToGrid/>
              <w:spacing w:line="260" w:lineRule="exact"/>
              <w:jc w:val="left"/>
              <w:textAlignment w:val="auto"/>
              <w:rPr>
                <w:rFonts w:hint="eastAsia" w:ascii="Times New Roman" w:hAnsi="Times New Roman" w:eastAsia="宋体" w:cstheme="minorEastAsia"/>
                <w:b/>
                <w:bCs w:val="0"/>
                <w:sz w:val="22"/>
                <w:szCs w:val="22"/>
                <w:highlight w:val="none"/>
                <w:lang w:val="en-US" w:eastAsia="zh-CN"/>
              </w:rPr>
            </w:pPr>
            <w:r>
              <w:rPr>
                <w:rFonts w:hint="eastAsia" w:ascii="Times New Roman" w:hAnsi="Times New Roman" w:eastAsia="宋体" w:cstheme="minorEastAsia"/>
                <w:b/>
                <w:bCs w:val="0"/>
                <w:sz w:val="22"/>
                <w:szCs w:val="22"/>
                <w:highlight w:val="none"/>
                <w:lang w:val="en-US" w:eastAsia="zh-CN"/>
              </w:rPr>
              <w:t>评审标准：</w:t>
            </w:r>
          </w:p>
          <w:p w14:paraId="3DFB7922">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440" w:firstLineChars="200"/>
              <w:jc w:val="left"/>
              <w:textAlignment w:val="auto"/>
              <w:rPr>
                <w:rFonts w:hint="eastAsia" w:ascii="Times New Roman" w:hAnsi="Times New Roman" w:eastAsia="宋体" w:cstheme="minorEastAsia"/>
                <w:b w:val="0"/>
                <w:bCs/>
                <w:sz w:val="22"/>
                <w:szCs w:val="22"/>
                <w:highlight w:val="none"/>
                <w:lang w:val="en-US" w:eastAsia="zh-CN"/>
              </w:rPr>
            </w:pPr>
            <w:r>
              <w:rPr>
                <w:rFonts w:hint="eastAsia" w:ascii="Times New Roman" w:hAnsi="Times New Roman" w:eastAsia="宋体" w:cstheme="minorEastAsia"/>
                <w:b w:val="0"/>
                <w:bCs/>
                <w:sz w:val="22"/>
                <w:szCs w:val="22"/>
                <w:highlight w:val="none"/>
                <w:lang w:val="en-US" w:eastAsia="zh-CN"/>
              </w:rPr>
              <w:t>1.根据投标人可投入本项目的服务方案（体检服务流程、体检服务规范标准、服务团队、服务门诊数量、服务设备仪器、增值服务、预约方式、体检报告查询方式、检后服务等）实施评分。</w:t>
            </w:r>
          </w:p>
          <w:p w14:paraId="67EEC861">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440" w:firstLineChars="200"/>
              <w:jc w:val="left"/>
              <w:textAlignment w:val="auto"/>
              <w:rPr>
                <w:rFonts w:hint="eastAsia" w:ascii="Times New Roman" w:hAnsi="Times New Roman" w:eastAsia="宋体" w:cstheme="minorEastAsia"/>
                <w:b w:val="0"/>
                <w:bCs/>
                <w:sz w:val="22"/>
                <w:szCs w:val="22"/>
                <w:highlight w:val="none"/>
                <w:lang w:val="en-US" w:eastAsia="zh-CN"/>
              </w:rPr>
            </w:pPr>
            <w:r>
              <w:rPr>
                <w:rFonts w:hint="eastAsia" w:ascii="Times New Roman" w:hAnsi="Times New Roman" w:eastAsia="宋体" w:cstheme="minorEastAsia"/>
                <w:b w:val="0"/>
                <w:bCs/>
                <w:sz w:val="22"/>
                <w:szCs w:val="22"/>
                <w:highlight w:val="none"/>
                <w:lang w:val="en-US" w:eastAsia="zh-CN"/>
              </w:rPr>
              <w:t>投标服务方案内包含上述内容的，得10分；如有缺少一项内容的，本项评审标准不得分。</w:t>
            </w:r>
          </w:p>
          <w:p w14:paraId="69094575">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440" w:firstLineChars="200"/>
              <w:jc w:val="left"/>
              <w:textAlignment w:val="auto"/>
              <w:rPr>
                <w:rFonts w:hint="default" w:ascii="Times New Roman" w:hAnsi="Times New Roman" w:eastAsia="宋体" w:cstheme="minorEastAsia"/>
                <w:b w:val="0"/>
                <w:bCs/>
                <w:sz w:val="22"/>
                <w:szCs w:val="22"/>
                <w:highlight w:val="none"/>
                <w:lang w:val="en-US" w:eastAsia="zh-CN"/>
              </w:rPr>
            </w:pPr>
            <w:r>
              <w:rPr>
                <w:rFonts w:hint="eastAsia" w:ascii="Times New Roman" w:hAnsi="Times New Roman" w:eastAsia="宋体" w:cstheme="minorEastAsia"/>
                <w:b w:val="0"/>
                <w:bCs/>
                <w:sz w:val="22"/>
                <w:szCs w:val="22"/>
                <w:highlight w:val="none"/>
                <w:lang w:val="en-US" w:eastAsia="zh-CN"/>
              </w:rPr>
              <w:t>2.若投标人的体检预约方式</w:t>
            </w:r>
            <w:r>
              <w:rPr>
                <w:rFonts w:hint="eastAsia" w:ascii="Times New Roman" w:hAnsi="Times New Roman" w:eastAsia="宋体" w:cstheme="minorEastAsia"/>
                <w:b w:val="0"/>
                <w:bCs/>
                <w:sz w:val="22"/>
                <w:szCs w:val="22"/>
                <w:highlight w:val="none"/>
              </w:rPr>
              <w:t>具有</w:t>
            </w:r>
            <w:r>
              <w:rPr>
                <w:rFonts w:hint="eastAsia" w:ascii="Times New Roman" w:hAnsi="Times New Roman" w:eastAsia="宋体" w:cstheme="minorEastAsia"/>
                <w:b w:val="0"/>
                <w:bCs/>
                <w:sz w:val="22"/>
                <w:szCs w:val="22"/>
                <w:highlight w:val="none"/>
                <w:lang w:val="en-US" w:eastAsia="zh-CN"/>
              </w:rPr>
              <w:t>固话及</w:t>
            </w:r>
            <w:r>
              <w:rPr>
                <w:rFonts w:hint="eastAsia" w:ascii="Times New Roman" w:hAnsi="Times New Roman" w:eastAsia="宋体" w:cstheme="minorEastAsia"/>
                <w:b w:val="0"/>
                <w:bCs/>
                <w:sz w:val="22"/>
                <w:szCs w:val="22"/>
                <w:highlight w:val="none"/>
              </w:rPr>
              <w:t>微信小程序</w:t>
            </w:r>
            <w:r>
              <w:rPr>
                <w:rFonts w:hint="eastAsia" w:ascii="Times New Roman" w:hAnsi="Times New Roman" w:eastAsia="宋体" w:cstheme="minorEastAsia"/>
                <w:b w:val="0"/>
                <w:bCs/>
                <w:sz w:val="22"/>
                <w:szCs w:val="22"/>
                <w:highlight w:val="none"/>
                <w:lang w:eastAsia="zh-CN"/>
              </w:rPr>
              <w:t>、服务号</w:t>
            </w:r>
            <w:r>
              <w:rPr>
                <w:rFonts w:hint="eastAsia" w:ascii="Times New Roman" w:hAnsi="Times New Roman" w:eastAsia="宋体" w:cstheme="minorEastAsia"/>
                <w:b w:val="0"/>
                <w:bCs/>
                <w:sz w:val="22"/>
                <w:szCs w:val="22"/>
                <w:highlight w:val="none"/>
              </w:rPr>
              <w:t>可用于</w:t>
            </w:r>
            <w:r>
              <w:rPr>
                <w:rFonts w:hint="eastAsia" w:ascii="Times New Roman" w:hAnsi="Times New Roman" w:eastAsia="宋体" w:cstheme="minorEastAsia"/>
                <w:b w:val="0"/>
                <w:bCs/>
                <w:sz w:val="22"/>
                <w:szCs w:val="22"/>
                <w:highlight w:val="none"/>
                <w:lang w:val="en-US" w:eastAsia="zh-CN"/>
              </w:rPr>
              <w:t>招标人员工</w:t>
            </w:r>
            <w:r>
              <w:rPr>
                <w:rFonts w:hint="eastAsia" w:ascii="Times New Roman" w:hAnsi="Times New Roman" w:eastAsia="宋体" w:cstheme="minorEastAsia"/>
                <w:b w:val="0"/>
                <w:bCs/>
                <w:sz w:val="22"/>
                <w:szCs w:val="22"/>
                <w:highlight w:val="none"/>
              </w:rPr>
              <w:t>健康体检线上预约</w:t>
            </w:r>
            <w:r>
              <w:rPr>
                <w:rFonts w:hint="eastAsia" w:ascii="Times New Roman" w:hAnsi="Times New Roman" w:eastAsia="宋体" w:cstheme="minorEastAsia"/>
                <w:b w:val="0"/>
                <w:bCs/>
                <w:sz w:val="22"/>
                <w:szCs w:val="22"/>
                <w:highlight w:val="none"/>
                <w:lang w:eastAsia="zh-CN"/>
              </w:rPr>
              <w:t>（</w:t>
            </w:r>
            <w:r>
              <w:rPr>
                <w:rFonts w:hint="eastAsia" w:ascii="Times New Roman" w:hAnsi="Times New Roman" w:eastAsia="宋体" w:cstheme="minorEastAsia"/>
                <w:b w:val="0"/>
                <w:bCs/>
                <w:sz w:val="22"/>
                <w:szCs w:val="22"/>
                <w:highlight w:val="none"/>
              </w:rPr>
              <w:t>可随时提供预约服务的</w:t>
            </w:r>
            <w:r>
              <w:rPr>
                <w:rFonts w:hint="eastAsia" w:ascii="Times New Roman" w:hAnsi="Times New Roman" w:eastAsia="宋体" w:cstheme="minorEastAsia"/>
                <w:b w:val="0"/>
                <w:bCs/>
                <w:sz w:val="22"/>
                <w:szCs w:val="22"/>
                <w:highlight w:val="none"/>
                <w:lang w:val="en-US" w:eastAsia="zh-CN"/>
              </w:rPr>
              <w:t>)，加3分，不满足的不得分。</w:t>
            </w:r>
          </w:p>
          <w:p w14:paraId="0F0AC96D">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440" w:firstLineChars="200"/>
              <w:jc w:val="left"/>
              <w:textAlignment w:val="auto"/>
              <w:rPr>
                <w:rFonts w:hint="eastAsia" w:ascii="Times New Roman" w:hAnsi="Times New Roman" w:eastAsia="宋体" w:cstheme="minorEastAsia"/>
                <w:b w:val="0"/>
                <w:bCs/>
                <w:sz w:val="22"/>
                <w:szCs w:val="22"/>
                <w:highlight w:val="none"/>
                <w:lang w:val="en-US" w:eastAsia="zh-CN"/>
              </w:rPr>
            </w:pPr>
            <w:r>
              <w:rPr>
                <w:rFonts w:hint="eastAsia" w:ascii="Times New Roman" w:hAnsi="Times New Roman" w:eastAsia="宋体" w:cstheme="minorEastAsia"/>
                <w:b w:val="0"/>
                <w:bCs/>
                <w:sz w:val="22"/>
                <w:szCs w:val="22"/>
                <w:highlight w:val="none"/>
                <w:lang w:val="en-US" w:eastAsia="zh-CN"/>
              </w:rPr>
              <w:t>3.若投标人的体检报告查询方式具有线上电子健康档案信息与体检报告数据查询功能，并具有纸质版体检报告的，加3分，不满足的不得分。</w:t>
            </w:r>
          </w:p>
          <w:p w14:paraId="41C7D96F">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440" w:firstLineChars="200"/>
              <w:jc w:val="left"/>
              <w:textAlignment w:val="auto"/>
              <w:rPr>
                <w:rFonts w:hint="eastAsia" w:ascii="Times New Roman" w:hAnsi="Times New Roman" w:eastAsia="宋体" w:cstheme="minorEastAsia"/>
                <w:b w:val="0"/>
                <w:bCs/>
                <w:sz w:val="22"/>
                <w:szCs w:val="22"/>
                <w:highlight w:val="none"/>
                <w:lang w:eastAsia="zh-CN"/>
              </w:rPr>
            </w:pPr>
            <w:r>
              <w:rPr>
                <w:rFonts w:hint="eastAsia" w:ascii="Times New Roman" w:hAnsi="Times New Roman" w:eastAsia="宋体" w:cstheme="minorEastAsia"/>
                <w:b w:val="0"/>
                <w:bCs/>
                <w:sz w:val="22"/>
                <w:szCs w:val="22"/>
                <w:highlight w:val="none"/>
                <w:lang w:val="en-US" w:eastAsia="zh-CN"/>
              </w:rPr>
              <w:t>4.若投标人的</w:t>
            </w:r>
            <w:r>
              <w:rPr>
                <w:rFonts w:hint="eastAsia" w:ascii="Times New Roman" w:hAnsi="Times New Roman" w:eastAsia="宋体" w:cs="楷体_GB2312"/>
                <w:b w:val="0"/>
                <w:bCs/>
                <w:sz w:val="22"/>
                <w:szCs w:val="22"/>
                <w:highlight w:val="none"/>
                <w:lang w:val="en-US" w:eastAsia="zh-CN"/>
              </w:rPr>
              <w:t>检后服务具备</w:t>
            </w:r>
            <w:r>
              <w:rPr>
                <w:rFonts w:hint="eastAsia" w:ascii="Times New Roman" w:hAnsi="Times New Roman" w:eastAsia="宋体" w:cstheme="minorEastAsia"/>
                <w:b w:val="0"/>
                <w:bCs/>
                <w:sz w:val="22"/>
                <w:szCs w:val="22"/>
                <w:highlight w:val="none"/>
              </w:rPr>
              <w:t>固定客服电话，有专业医务人员提供检后咨询解答服务</w:t>
            </w:r>
            <w:r>
              <w:rPr>
                <w:rFonts w:hint="eastAsia" w:ascii="Times New Roman" w:hAnsi="Times New Roman" w:eastAsia="宋体" w:cstheme="minorEastAsia"/>
                <w:b w:val="0"/>
                <w:bCs/>
                <w:sz w:val="22"/>
                <w:szCs w:val="22"/>
                <w:highlight w:val="none"/>
                <w:lang w:val="en-US" w:eastAsia="zh-CN"/>
              </w:rPr>
              <w:t>的，加3分，不满足不得分</w:t>
            </w:r>
            <w:r>
              <w:rPr>
                <w:rFonts w:hint="eastAsia" w:ascii="Times New Roman" w:hAnsi="Times New Roman" w:eastAsia="宋体" w:cstheme="minorEastAsia"/>
                <w:b w:val="0"/>
                <w:bCs/>
                <w:sz w:val="22"/>
                <w:szCs w:val="22"/>
                <w:highlight w:val="none"/>
                <w:lang w:eastAsia="zh-CN"/>
              </w:rPr>
              <w:t>。</w:t>
            </w:r>
          </w:p>
          <w:p w14:paraId="6939431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60" w:lineRule="exact"/>
              <w:ind w:firstLine="440" w:firstLineChars="200"/>
              <w:jc w:val="left"/>
              <w:textAlignment w:val="auto"/>
              <w:rPr>
                <w:rFonts w:hint="eastAsia" w:ascii="Times New Roman" w:hAnsi="Times New Roman" w:eastAsia="宋体" w:cstheme="minorEastAsia"/>
                <w:b w:val="0"/>
                <w:bCs/>
                <w:sz w:val="22"/>
                <w:szCs w:val="22"/>
                <w:highlight w:val="none"/>
                <w:lang w:val="en-US" w:eastAsia="zh-CN"/>
              </w:rPr>
            </w:pPr>
            <w:r>
              <w:rPr>
                <w:rFonts w:hint="eastAsia" w:ascii="Times New Roman" w:hAnsi="Times New Roman" w:eastAsia="宋体" w:cstheme="minorEastAsia"/>
                <w:b w:val="0"/>
                <w:bCs/>
                <w:sz w:val="22"/>
                <w:szCs w:val="22"/>
                <w:highlight w:val="none"/>
                <w:lang w:val="en-US" w:eastAsia="zh-CN"/>
              </w:rPr>
              <w:t>5.在上述基础上，投标人对应体检项目有技术更新需于招标公告附件3体检方案备注栏进行说明，简要说明技术更新要点及对体检提升作用的。每提供一项加3分，最高不超过6分。</w:t>
            </w:r>
          </w:p>
          <w:p w14:paraId="25E8EB3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60" w:lineRule="exact"/>
              <w:ind w:firstLine="440" w:firstLineChars="200"/>
              <w:jc w:val="left"/>
              <w:textAlignment w:val="auto"/>
              <w:rPr>
                <w:rFonts w:hint="eastAsia" w:ascii="Times New Roman" w:hAnsi="Times New Roman" w:eastAsia="宋体" w:cstheme="minorEastAsia"/>
                <w:b w:val="0"/>
                <w:bCs/>
                <w:sz w:val="22"/>
                <w:szCs w:val="22"/>
                <w:highlight w:val="none"/>
                <w:lang w:val="en-US" w:eastAsia="zh-CN"/>
              </w:rPr>
            </w:pPr>
            <w:r>
              <w:rPr>
                <w:rFonts w:hint="eastAsia" w:ascii="Times New Roman" w:hAnsi="Times New Roman" w:eastAsia="宋体" w:cstheme="minorEastAsia"/>
                <w:b w:val="0"/>
                <w:bCs/>
                <w:sz w:val="22"/>
                <w:szCs w:val="22"/>
                <w:highlight w:val="none"/>
                <w:lang w:val="en-US" w:eastAsia="zh-CN"/>
              </w:rPr>
              <w:t>6.综合以上投标人可投入本项目的服务方案的完整性、先进性实施横向评分。</w:t>
            </w:r>
          </w:p>
          <w:p w14:paraId="4FFD9AD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60" w:lineRule="exact"/>
              <w:ind w:firstLine="440" w:firstLineChars="200"/>
              <w:jc w:val="left"/>
              <w:textAlignment w:val="auto"/>
              <w:rPr>
                <w:rFonts w:hint="default" w:ascii="Times New Roman" w:hAnsi="Times New Roman" w:eastAsia="宋体" w:cstheme="minorEastAsia"/>
                <w:b w:val="0"/>
                <w:bCs/>
                <w:sz w:val="22"/>
                <w:szCs w:val="22"/>
                <w:highlight w:val="none"/>
                <w:lang w:val="en-US" w:eastAsia="zh-CN"/>
              </w:rPr>
            </w:pPr>
            <w:r>
              <w:rPr>
                <w:rFonts w:hint="eastAsia" w:ascii="Times New Roman" w:hAnsi="Times New Roman" w:eastAsia="宋体" w:cstheme="minorEastAsia"/>
                <w:b w:val="0"/>
                <w:bCs/>
                <w:sz w:val="22"/>
                <w:szCs w:val="22"/>
                <w:highlight w:val="none"/>
                <w:lang w:val="en-US" w:eastAsia="zh-CN"/>
              </w:rPr>
              <w:t>优秀的，得8-10分，良好的，得5-7分，其余不得分。</w:t>
            </w:r>
          </w:p>
          <w:p w14:paraId="6C7ACAFA">
            <w:pPr>
              <w:keepNext w:val="0"/>
              <w:keepLines w:val="0"/>
              <w:pageBreakBefore w:val="0"/>
              <w:widowControl/>
              <w:shd w:val="clear" w:color="auto" w:fill="FFFFFF"/>
              <w:kinsoku/>
              <w:wordWrap/>
              <w:overflowPunct/>
              <w:topLinePunct w:val="0"/>
              <w:autoSpaceDE/>
              <w:autoSpaceDN/>
              <w:bidi w:val="0"/>
              <w:adjustRightInd/>
              <w:snapToGrid/>
              <w:spacing w:line="260" w:lineRule="exact"/>
              <w:jc w:val="left"/>
              <w:textAlignment w:val="auto"/>
              <w:rPr>
                <w:rFonts w:hint="eastAsia" w:ascii="Times New Roman" w:hAnsi="Times New Roman" w:eastAsia="宋体" w:cstheme="minorEastAsia"/>
                <w:b/>
                <w:bCs w:val="0"/>
                <w:sz w:val="22"/>
                <w:szCs w:val="22"/>
                <w:highlight w:val="none"/>
                <w:lang w:val="en-US" w:eastAsia="zh-CN"/>
              </w:rPr>
            </w:pPr>
            <w:r>
              <w:rPr>
                <w:rFonts w:hint="eastAsia" w:ascii="Times New Roman" w:hAnsi="Times New Roman" w:eastAsia="宋体" w:cstheme="minorEastAsia"/>
                <w:b/>
                <w:bCs w:val="0"/>
                <w:sz w:val="22"/>
                <w:szCs w:val="22"/>
                <w:highlight w:val="none"/>
                <w:lang w:val="en-US" w:eastAsia="zh-CN"/>
              </w:rPr>
              <w:t>证明材料：</w:t>
            </w:r>
          </w:p>
          <w:p w14:paraId="330535A5">
            <w:pPr>
              <w:keepNext w:val="0"/>
              <w:keepLines w:val="0"/>
              <w:pageBreakBefore w:val="0"/>
              <w:widowControl/>
              <w:numPr>
                <w:ilvl w:val="0"/>
                <w:numId w:val="8"/>
              </w:numPr>
              <w:shd w:val="clear" w:color="auto" w:fill="FFFFFF"/>
              <w:kinsoku/>
              <w:wordWrap/>
              <w:overflowPunct/>
              <w:topLinePunct w:val="0"/>
              <w:autoSpaceDE/>
              <w:autoSpaceDN/>
              <w:bidi w:val="0"/>
              <w:adjustRightInd/>
              <w:snapToGrid/>
              <w:spacing w:line="260" w:lineRule="exact"/>
              <w:jc w:val="left"/>
              <w:textAlignment w:val="auto"/>
              <w:rPr>
                <w:rFonts w:hint="default" w:ascii="Times New Roman" w:hAnsi="Times New Roman" w:eastAsia="宋体" w:cstheme="minorEastAsia"/>
                <w:b w:val="0"/>
                <w:bCs/>
                <w:sz w:val="22"/>
                <w:szCs w:val="22"/>
                <w:highlight w:val="none"/>
                <w:lang w:val="en-US" w:eastAsia="zh-CN"/>
              </w:rPr>
            </w:pPr>
            <w:r>
              <w:rPr>
                <w:rFonts w:hint="eastAsia" w:ascii="Times New Roman" w:hAnsi="Times New Roman" w:eastAsia="宋体" w:cstheme="minorEastAsia"/>
                <w:b w:val="0"/>
                <w:bCs/>
                <w:sz w:val="22"/>
                <w:szCs w:val="22"/>
                <w:highlight w:val="none"/>
                <w:lang w:val="en-US" w:eastAsia="zh-CN"/>
              </w:rPr>
              <w:t>根据投标人投标文件中提供本项目的服务方案、体检方案内容实施评分。</w:t>
            </w:r>
          </w:p>
          <w:p w14:paraId="3ED56B0C">
            <w:pPr>
              <w:keepNext w:val="0"/>
              <w:keepLines w:val="0"/>
              <w:pageBreakBefore w:val="0"/>
              <w:widowControl/>
              <w:numPr>
                <w:ilvl w:val="0"/>
                <w:numId w:val="8"/>
              </w:numPr>
              <w:shd w:val="clear" w:color="auto" w:fill="FFFFFF"/>
              <w:kinsoku/>
              <w:wordWrap/>
              <w:overflowPunct/>
              <w:topLinePunct w:val="0"/>
              <w:autoSpaceDE/>
              <w:autoSpaceDN/>
              <w:bidi w:val="0"/>
              <w:adjustRightInd/>
              <w:snapToGrid/>
              <w:spacing w:line="260" w:lineRule="exact"/>
              <w:jc w:val="left"/>
              <w:textAlignment w:val="auto"/>
              <w:rPr>
                <w:rFonts w:hint="default" w:ascii="Times New Roman" w:hAnsi="Times New Roman" w:eastAsia="宋体" w:cstheme="minorEastAsia"/>
                <w:b w:val="0"/>
                <w:bCs/>
                <w:sz w:val="22"/>
                <w:szCs w:val="22"/>
                <w:highlight w:val="none"/>
                <w:lang w:val="en-US" w:eastAsia="zh-CN"/>
              </w:rPr>
            </w:pPr>
            <w:r>
              <w:rPr>
                <w:rFonts w:hint="eastAsia" w:ascii="Times New Roman" w:hAnsi="Times New Roman" w:eastAsia="宋体" w:cstheme="minorEastAsia"/>
                <w:b w:val="0"/>
                <w:bCs/>
                <w:sz w:val="22"/>
                <w:szCs w:val="22"/>
                <w:highlight w:val="none"/>
                <w:lang w:val="en-US" w:eastAsia="zh-CN"/>
              </w:rPr>
              <w:t>投标人服务方案内必须包含同类业绩合作的情况，如未提供服务方案将不得分。</w:t>
            </w:r>
          </w:p>
        </w:tc>
        <w:tc>
          <w:tcPr>
            <w:tcW w:w="421" w:type="pct"/>
            <w:tcBorders>
              <w:tl2br w:val="nil"/>
              <w:tr2bl w:val="nil"/>
            </w:tcBorders>
            <w:vAlign w:val="center"/>
          </w:tcPr>
          <w:p w14:paraId="5AABBCF9">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宋体" w:cstheme="minorEastAsia"/>
                <w:b w:val="0"/>
                <w:bCs/>
                <w:sz w:val="24"/>
                <w:szCs w:val="24"/>
                <w:highlight w:val="none"/>
                <w:lang w:val="en-US" w:eastAsia="zh-CN"/>
              </w:rPr>
            </w:pPr>
            <w:r>
              <w:rPr>
                <w:rFonts w:hint="eastAsia" w:ascii="Times New Roman" w:hAnsi="Times New Roman" w:eastAsia="宋体" w:cstheme="minorEastAsia"/>
                <w:b w:val="0"/>
                <w:bCs/>
                <w:sz w:val="24"/>
                <w:szCs w:val="24"/>
                <w:highlight w:val="none"/>
                <w:lang w:val="en-US" w:eastAsia="zh-CN"/>
              </w:rPr>
              <w:t>35分</w:t>
            </w:r>
          </w:p>
        </w:tc>
      </w:tr>
      <w:tr w14:paraId="458697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68" w:hRule="atLeast"/>
          <w:jc w:val="center"/>
        </w:trPr>
        <w:tc>
          <w:tcPr>
            <w:tcW w:w="381" w:type="pct"/>
            <w:tcBorders>
              <w:tl2br w:val="nil"/>
              <w:tr2bl w:val="nil"/>
            </w:tcBorders>
            <w:vAlign w:val="center"/>
          </w:tcPr>
          <w:p w14:paraId="4EAC9A7B">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heme="minorEastAsia"/>
                <w:b w:val="0"/>
                <w:bCs/>
                <w:sz w:val="24"/>
                <w:szCs w:val="24"/>
                <w:highlight w:val="none"/>
                <w:lang w:eastAsia="zh-CN"/>
              </w:rPr>
            </w:pPr>
            <w:r>
              <w:rPr>
                <w:rFonts w:hint="eastAsia" w:ascii="Times New Roman" w:hAnsi="Times New Roman" w:eastAsia="宋体" w:cstheme="minorEastAsia"/>
                <w:b w:val="0"/>
                <w:bCs/>
                <w:sz w:val="24"/>
                <w:szCs w:val="24"/>
                <w:highlight w:val="none"/>
                <w:lang w:val="en-US" w:eastAsia="zh-CN"/>
              </w:rPr>
              <w:t>4</w:t>
            </w:r>
          </w:p>
        </w:tc>
        <w:tc>
          <w:tcPr>
            <w:tcW w:w="528" w:type="pct"/>
            <w:tcBorders>
              <w:tl2br w:val="nil"/>
              <w:tr2bl w:val="nil"/>
            </w:tcBorders>
            <w:vAlign w:val="center"/>
          </w:tcPr>
          <w:p w14:paraId="6416C60D">
            <w:pPr>
              <w:keepNext w:val="0"/>
              <w:keepLines w:val="0"/>
              <w:pageBreakBefore w:val="0"/>
              <w:kinsoku/>
              <w:wordWrap/>
              <w:overflowPunct/>
              <w:topLinePunct w:val="0"/>
              <w:autoSpaceDE/>
              <w:autoSpaceDN/>
              <w:bidi w:val="0"/>
              <w:snapToGrid w:val="0"/>
              <w:spacing w:line="260" w:lineRule="exact"/>
              <w:jc w:val="center"/>
              <w:textAlignment w:val="auto"/>
              <w:rPr>
                <w:rStyle w:val="20"/>
                <w:rFonts w:hint="eastAsia" w:ascii="Times New Roman" w:hAnsi="Times New Roman" w:eastAsia="宋体" w:cstheme="minorEastAsia"/>
                <w:b w:val="0"/>
                <w:bCs/>
                <w:sz w:val="22"/>
                <w:szCs w:val="22"/>
                <w:highlight w:val="none"/>
              </w:rPr>
            </w:pPr>
            <w:r>
              <w:rPr>
                <w:rStyle w:val="20"/>
                <w:rFonts w:hint="eastAsia" w:ascii="Times New Roman" w:hAnsi="Times New Roman" w:eastAsia="宋体" w:cstheme="minorEastAsia"/>
                <w:b w:val="0"/>
                <w:bCs/>
                <w:sz w:val="22"/>
                <w:szCs w:val="22"/>
                <w:highlight w:val="none"/>
              </w:rPr>
              <w:t>员工</w:t>
            </w:r>
            <w:r>
              <w:rPr>
                <w:rStyle w:val="20"/>
                <w:rFonts w:hint="eastAsia" w:ascii="Times New Roman" w:hAnsi="Times New Roman" w:eastAsia="宋体" w:cstheme="minorEastAsia"/>
                <w:b w:val="0"/>
                <w:bCs/>
                <w:sz w:val="22"/>
                <w:szCs w:val="22"/>
                <w:highlight w:val="none"/>
                <w:lang w:eastAsia="zh-CN"/>
              </w:rPr>
              <w:t>自费检查</w:t>
            </w:r>
            <w:r>
              <w:rPr>
                <w:rStyle w:val="20"/>
                <w:rFonts w:hint="eastAsia" w:ascii="Times New Roman" w:hAnsi="Times New Roman" w:eastAsia="宋体" w:cstheme="minorEastAsia"/>
                <w:b w:val="0"/>
                <w:bCs/>
                <w:sz w:val="22"/>
                <w:szCs w:val="22"/>
                <w:highlight w:val="none"/>
              </w:rPr>
              <w:t>优惠服务</w:t>
            </w:r>
          </w:p>
        </w:tc>
        <w:tc>
          <w:tcPr>
            <w:tcW w:w="3669" w:type="pct"/>
            <w:tcBorders>
              <w:tl2br w:val="nil"/>
              <w:tr2bl w:val="nil"/>
            </w:tcBorders>
            <w:vAlign w:val="center"/>
          </w:tcPr>
          <w:p w14:paraId="5CA720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宋体" w:cstheme="minorEastAsia"/>
                <w:b w:val="0"/>
                <w:bCs/>
                <w:sz w:val="22"/>
                <w:szCs w:val="22"/>
                <w:highlight w:val="none"/>
                <w:lang w:val="en-US" w:eastAsia="zh-CN"/>
              </w:rPr>
            </w:pPr>
            <w:r>
              <w:rPr>
                <w:rFonts w:hint="eastAsia" w:ascii="Times New Roman" w:hAnsi="Times New Roman" w:eastAsia="宋体" w:cstheme="minorEastAsia"/>
                <w:b/>
                <w:bCs w:val="0"/>
                <w:sz w:val="22"/>
                <w:szCs w:val="22"/>
                <w:highlight w:val="none"/>
                <w:lang w:val="en-US" w:eastAsia="zh-CN"/>
              </w:rPr>
              <w:t>评审标准：</w:t>
            </w:r>
            <w:r>
              <w:rPr>
                <w:rFonts w:hint="eastAsia" w:ascii="Times New Roman" w:hAnsi="Times New Roman" w:eastAsia="宋体" w:cstheme="minorEastAsia"/>
                <w:b w:val="0"/>
                <w:bCs/>
                <w:sz w:val="22"/>
                <w:szCs w:val="22"/>
                <w:highlight w:val="none"/>
                <w:lang w:val="en-US" w:eastAsia="zh-CN"/>
              </w:rPr>
              <w:t>如</w:t>
            </w:r>
            <w:r>
              <w:rPr>
                <w:rFonts w:hint="eastAsia" w:ascii="Times New Roman" w:hAnsi="Times New Roman" w:eastAsia="宋体" w:cstheme="minorEastAsia"/>
                <w:b w:val="0"/>
                <w:bCs/>
                <w:sz w:val="22"/>
                <w:szCs w:val="22"/>
                <w:highlight w:val="none"/>
                <w:lang w:eastAsia="zh-CN"/>
              </w:rPr>
              <w:t>招标人员工自费加检非医保项目，投标人</w:t>
            </w:r>
            <w:r>
              <w:rPr>
                <w:rFonts w:hint="eastAsia" w:ascii="Times New Roman" w:hAnsi="Times New Roman" w:eastAsia="宋体" w:cstheme="minorEastAsia"/>
                <w:b w:val="0"/>
                <w:bCs/>
                <w:sz w:val="22"/>
                <w:szCs w:val="22"/>
                <w:highlight w:val="none"/>
                <w:lang w:val="en-US" w:eastAsia="zh-CN"/>
              </w:rPr>
              <w:t>按照投标人医院</w:t>
            </w:r>
            <w:r>
              <w:rPr>
                <w:rFonts w:hint="eastAsia" w:ascii="Times New Roman" w:hAnsi="Times New Roman" w:eastAsia="宋体" w:cstheme="minorEastAsia"/>
                <w:b w:val="0"/>
                <w:bCs/>
                <w:sz w:val="22"/>
                <w:szCs w:val="22"/>
                <w:highlight w:val="none"/>
                <w:lang w:eastAsia="zh-CN"/>
              </w:rPr>
              <w:t>体检市价给予</w:t>
            </w:r>
            <w:r>
              <w:rPr>
                <w:rFonts w:hint="eastAsia" w:ascii="Times New Roman" w:hAnsi="Times New Roman" w:eastAsia="宋体" w:cstheme="minorEastAsia"/>
                <w:b w:val="0"/>
                <w:bCs/>
                <w:sz w:val="22"/>
                <w:szCs w:val="22"/>
                <w:highlight w:val="none"/>
              </w:rPr>
              <w:t>折扣</w:t>
            </w:r>
            <w:r>
              <w:rPr>
                <w:rFonts w:hint="eastAsia" w:ascii="Times New Roman" w:hAnsi="Times New Roman" w:eastAsia="宋体" w:cstheme="minorEastAsia"/>
                <w:b w:val="0"/>
                <w:bCs/>
                <w:sz w:val="22"/>
                <w:szCs w:val="22"/>
                <w:highlight w:val="none"/>
                <w:lang w:val="en-US" w:eastAsia="zh-CN"/>
              </w:rPr>
              <w:t>的</w:t>
            </w:r>
            <w:r>
              <w:rPr>
                <w:rFonts w:hint="eastAsia" w:ascii="Times New Roman" w:hAnsi="Times New Roman" w:eastAsia="宋体" w:cstheme="minorEastAsia"/>
                <w:b w:val="0"/>
                <w:bCs/>
                <w:sz w:val="22"/>
                <w:szCs w:val="22"/>
                <w:highlight w:val="none"/>
              </w:rPr>
              <w:t>，</w:t>
            </w:r>
            <w:r>
              <w:rPr>
                <w:rFonts w:hint="eastAsia" w:ascii="Times New Roman" w:hAnsi="Times New Roman" w:eastAsia="宋体" w:cstheme="minorEastAsia"/>
                <w:b w:val="0"/>
                <w:bCs/>
                <w:sz w:val="22"/>
                <w:szCs w:val="22"/>
                <w:highlight w:val="none"/>
                <w:lang w:eastAsia="zh-CN"/>
              </w:rPr>
              <w:t>折扣比例最</w:t>
            </w:r>
            <w:r>
              <w:rPr>
                <w:rFonts w:hint="eastAsia" w:ascii="Times New Roman" w:hAnsi="Times New Roman" w:eastAsia="宋体" w:cstheme="minorEastAsia"/>
                <w:b w:val="0"/>
                <w:bCs/>
                <w:sz w:val="22"/>
                <w:szCs w:val="22"/>
                <w:highlight w:val="none"/>
                <w:lang w:val="en-US" w:eastAsia="zh-CN"/>
              </w:rPr>
              <w:t>优惠的</w:t>
            </w:r>
            <w:r>
              <w:rPr>
                <w:rFonts w:hint="eastAsia" w:ascii="Times New Roman" w:hAnsi="Times New Roman" w:eastAsia="宋体" w:cstheme="minorEastAsia"/>
                <w:b w:val="0"/>
                <w:bCs/>
                <w:sz w:val="22"/>
                <w:szCs w:val="22"/>
                <w:highlight w:val="none"/>
                <w:lang w:eastAsia="zh-CN"/>
              </w:rPr>
              <w:t>得</w:t>
            </w:r>
            <w:r>
              <w:rPr>
                <w:rFonts w:hint="eastAsia" w:ascii="Times New Roman" w:hAnsi="Times New Roman" w:eastAsia="宋体" w:cstheme="minorEastAsia"/>
                <w:b w:val="0"/>
                <w:bCs/>
                <w:sz w:val="22"/>
                <w:szCs w:val="22"/>
                <w:highlight w:val="none"/>
                <w:lang w:val="en-US" w:eastAsia="zh-CN"/>
              </w:rPr>
              <w:t>10</w:t>
            </w:r>
            <w:r>
              <w:rPr>
                <w:rFonts w:hint="eastAsia" w:ascii="Times New Roman" w:hAnsi="Times New Roman" w:eastAsia="宋体" w:cstheme="minorEastAsia"/>
                <w:b w:val="0"/>
                <w:bCs/>
                <w:sz w:val="22"/>
                <w:szCs w:val="22"/>
                <w:highlight w:val="none"/>
                <w:lang w:eastAsia="zh-CN"/>
              </w:rPr>
              <w:t>分</w:t>
            </w:r>
            <w:r>
              <w:rPr>
                <w:rFonts w:hint="eastAsia" w:ascii="Times New Roman" w:hAnsi="Times New Roman" w:eastAsia="宋体" w:cstheme="minorEastAsia"/>
                <w:b w:val="0"/>
                <w:bCs/>
                <w:sz w:val="22"/>
                <w:szCs w:val="22"/>
                <w:highlight w:val="none"/>
              </w:rPr>
              <w:t>，</w:t>
            </w:r>
            <w:r>
              <w:rPr>
                <w:rFonts w:hint="eastAsia" w:ascii="Times New Roman" w:hAnsi="Times New Roman" w:eastAsia="宋体" w:cstheme="minorEastAsia"/>
                <w:b w:val="0"/>
                <w:bCs/>
                <w:sz w:val="22"/>
                <w:szCs w:val="22"/>
                <w:highlight w:val="none"/>
                <w:lang w:val="en-US" w:eastAsia="zh-CN"/>
              </w:rPr>
              <w:t>次低得8分，按照2分步长以此类推（折扣相同为排名同等级，得分相同）。</w:t>
            </w:r>
          </w:p>
          <w:p w14:paraId="6EE7C8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宋体" w:cstheme="minorEastAsia"/>
                <w:b w:val="0"/>
                <w:bCs/>
                <w:sz w:val="22"/>
                <w:szCs w:val="22"/>
                <w:highlight w:val="none"/>
                <w:lang w:val="en-US" w:eastAsia="zh-CN"/>
              </w:rPr>
            </w:pPr>
            <w:r>
              <w:rPr>
                <w:rFonts w:hint="eastAsia" w:ascii="Times New Roman" w:hAnsi="Times New Roman" w:eastAsia="宋体" w:cstheme="minorEastAsia"/>
                <w:b/>
                <w:bCs w:val="0"/>
                <w:sz w:val="22"/>
                <w:szCs w:val="22"/>
                <w:highlight w:val="none"/>
                <w:lang w:val="en-US" w:eastAsia="zh-CN"/>
              </w:rPr>
              <w:t>证明材料：</w:t>
            </w:r>
            <w:r>
              <w:rPr>
                <w:rFonts w:hint="eastAsia" w:ascii="Times New Roman" w:hAnsi="Times New Roman" w:eastAsia="宋体" w:cstheme="minorEastAsia"/>
                <w:b w:val="0"/>
                <w:bCs/>
                <w:sz w:val="22"/>
                <w:szCs w:val="22"/>
                <w:highlight w:val="none"/>
                <w:lang w:val="en-US" w:eastAsia="zh-CN"/>
              </w:rPr>
              <w:t>根据投标人提供的对外</w:t>
            </w:r>
            <w:r>
              <w:rPr>
                <w:rFonts w:hint="eastAsia" w:ascii="Times New Roman" w:hAnsi="Times New Roman" w:eastAsia="宋体" w:cstheme="minorEastAsia"/>
                <w:b w:val="0"/>
                <w:bCs/>
                <w:sz w:val="22"/>
                <w:szCs w:val="22"/>
                <w:highlight w:val="none"/>
                <w:lang w:eastAsia="zh-CN"/>
              </w:rPr>
              <w:t>体检</w:t>
            </w:r>
            <w:r>
              <w:rPr>
                <w:rFonts w:hint="eastAsia" w:ascii="Times New Roman" w:hAnsi="Times New Roman" w:eastAsia="宋体" w:cstheme="minorEastAsia"/>
                <w:b w:val="0"/>
                <w:bCs/>
                <w:sz w:val="22"/>
                <w:szCs w:val="22"/>
                <w:highlight w:val="none"/>
                <w:lang w:val="en-US" w:eastAsia="zh-CN"/>
              </w:rPr>
              <w:t>项目统一门市价格表及给予本项目折扣情况进行评分。投标人需提供《服务保价承诺函》，格式详见本项目招标文件附件6《服务保价承诺函》。</w:t>
            </w:r>
          </w:p>
        </w:tc>
        <w:tc>
          <w:tcPr>
            <w:tcW w:w="421" w:type="pct"/>
            <w:tcBorders>
              <w:tl2br w:val="nil"/>
              <w:tr2bl w:val="nil"/>
            </w:tcBorders>
            <w:vAlign w:val="center"/>
          </w:tcPr>
          <w:p w14:paraId="5971FF67">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heme="minorEastAsia"/>
                <w:b w:val="0"/>
                <w:bCs/>
                <w:sz w:val="24"/>
                <w:szCs w:val="24"/>
                <w:highlight w:val="none"/>
              </w:rPr>
            </w:pPr>
            <w:r>
              <w:rPr>
                <w:rFonts w:hint="eastAsia" w:ascii="Times New Roman" w:hAnsi="Times New Roman" w:eastAsia="宋体" w:cstheme="minorEastAsia"/>
                <w:b w:val="0"/>
                <w:bCs/>
                <w:sz w:val="24"/>
                <w:szCs w:val="24"/>
                <w:highlight w:val="none"/>
                <w:lang w:val="en-US" w:eastAsia="zh-CN"/>
              </w:rPr>
              <w:t>10</w:t>
            </w:r>
            <w:r>
              <w:rPr>
                <w:rFonts w:hint="eastAsia" w:ascii="Times New Roman" w:hAnsi="Times New Roman" w:eastAsia="宋体" w:cstheme="minorEastAsia"/>
                <w:b w:val="0"/>
                <w:bCs/>
                <w:sz w:val="24"/>
                <w:szCs w:val="24"/>
                <w:highlight w:val="none"/>
              </w:rPr>
              <w:t>分</w:t>
            </w:r>
          </w:p>
        </w:tc>
      </w:tr>
      <w:tr w14:paraId="5891B5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67" w:hRule="atLeast"/>
          <w:jc w:val="center"/>
        </w:trPr>
        <w:tc>
          <w:tcPr>
            <w:tcW w:w="381" w:type="pct"/>
            <w:tcBorders>
              <w:tl2br w:val="nil"/>
              <w:tr2bl w:val="nil"/>
            </w:tcBorders>
            <w:vAlign w:val="center"/>
          </w:tcPr>
          <w:p w14:paraId="20692C41">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heme="minorEastAsia"/>
                <w:b w:val="0"/>
                <w:bCs/>
                <w:sz w:val="24"/>
                <w:szCs w:val="24"/>
                <w:highlight w:val="none"/>
                <w:lang w:val="en-US" w:eastAsia="zh-CN"/>
              </w:rPr>
            </w:pPr>
            <w:r>
              <w:rPr>
                <w:rFonts w:hint="eastAsia" w:ascii="Times New Roman" w:hAnsi="Times New Roman" w:eastAsia="宋体" w:cstheme="minorEastAsia"/>
                <w:b w:val="0"/>
                <w:bCs/>
                <w:sz w:val="24"/>
                <w:szCs w:val="24"/>
                <w:highlight w:val="none"/>
                <w:lang w:val="en-US" w:eastAsia="zh-CN"/>
              </w:rPr>
              <w:t>5</w:t>
            </w:r>
          </w:p>
        </w:tc>
        <w:tc>
          <w:tcPr>
            <w:tcW w:w="528" w:type="pct"/>
            <w:tcBorders>
              <w:tl2br w:val="nil"/>
              <w:tr2bl w:val="nil"/>
            </w:tcBorders>
            <w:vAlign w:val="center"/>
          </w:tcPr>
          <w:p w14:paraId="71610715">
            <w:pPr>
              <w:keepNext w:val="0"/>
              <w:keepLines w:val="0"/>
              <w:pageBreakBefore w:val="0"/>
              <w:kinsoku/>
              <w:wordWrap/>
              <w:overflowPunct/>
              <w:topLinePunct w:val="0"/>
              <w:autoSpaceDE/>
              <w:autoSpaceDN/>
              <w:bidi w:val="0"/>
              <w:snapToGrid w:val="0"/>
              <w:spacing w:line="260" w:lineRule="exact"/>
              <w:jc w:val="center"/>
              <w:textAlignment w:val="auto"/>
              <w:rPr>
                <w:rStyle w:val="20"/>
                <w:rFonts w:hint="eastAsia" w:ascii="Times New Roman" w:hAnsi="Times New Roman" w:eastAsia="宋体" w:cstheme="minorEastAsia"/>
                <w:b w:val="0"/>
                <w:bCs/>
                <w:sz w:val="22"/>
                <w:szCs w:val="22"/>
                <w:highlight w:val="none"/>
              </w:rPr>
            </w:pPr>
            <w:r>
              <w:rPr>
                <w:rStyle w:val="20"/>
                <w:rFonts w:hint="eastAsia" w:ascii="Times New Roman" w:hAnsi="Times New Roman" w:eastAsia="宋体" w:cstheme="minorEastAsia"/>
                <w:b w:val="0"/>
                <w:bCs/>
                <w:sz w:val="22"/>
                <w:szCs w:val="22"/>
                <w:highlight w:val="none"/>
                <w:lang w:val="en-US" w:eastAsia="zh-CN"/>
              </w:rPr>
              <w:t>地理位置便利性</w:t>
            </w:r>
          </w:p>
        </w:tc>
        <w:tc>
          <w:tcPr>
            <w:tcW w:w="3669" w:type="pct"/>
            <w:tcBorders>
              <w:tl2br w:val="nil"/>
              <w:tr2bl w:val="nil"/>
            </w:tcBorders>
            <w:vAlign w:val="center"/>
          </w:tcPr>
          <w:p w14:paraId="0D6016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宋体" w:cstheme="minorEastAsia"/>
                <w:bCs/>
                <w:sz w:val="22"/>
                <w:szCs w:val="22"/>
                <w:highlight w:val="none"/>
                <w:lang w:val="en-US" w:eastAsia="zh-CN"/>
              </w:rPr>
            </w:pPr>
            <w:r>
              <w:rPr>
                <w:rFonts w:hint="eastAsia" w:ascii="Times New Roman" w:hAnsi="Times New Roman" w:eastAsia="宋体" w:cstheme="minorEastAsia"/>
                <w:b/>
                <w:bCs w:val="0"/>
                <w:sz w:val="22"/>
                <w:szCs w:val="22"/>
                <w:highlight w:val="none"/>
                <w:lang w:val="en-US" w:eastAsia="zh-CN"/>
              </w:rPr>
              <w:t>评审标准：</w:t>
            </w:r>
            <w:r>
              <w:rPr>
                <w:rFonts w:hint="eastAsia" w:ascii="Times New Roman" w:hAnsi="Times New Roman" w:eastAsia="宋体" w:cstheme="minorEastAsia"/>
                <w:b w:val="0"/>
                <w:bCs/>
                <w:i w:val="0"/>
                <w:iCs w:val="0"/>
                <w:sz w:val="22"/>
                <w:szCs w:val="22"/>
                <w:highlight w:val="none"/>
                <w:lang w:val="en-US" w:eastAsia="zh-CN"/>
              </w:rPr>
              <w:t>根据</w:t>
            </w:r>
            <w:r>
              <w:rPr>
                <w:rFonts w:hint="eastAsia" w:ascii="Times New Roman" w:hAnsi="Times New Roman" w:eastAsia="宋体" w:cstheme="minorEastAsia"/>
                <w:bCs/>
                <w:sz w:val="22"/>
                <w:szCs w:val="22"/>
                <w:highlight w:val="none"/>
              </w:rPr>
              <w:t>投标人</w:t>
            </w:r>
            <w:r>
              <w:rPr>
                <w:rFonts w:hint="eastAsia" w:ascii="Times New Roman" w:hAnsi="Times New Roman" w:eastAsia="宋体" w:cstheme="minorEastAsia"/>
                <w:bCs/>
                <w:sz w:val="22"/>
                <w:szCs w:val="22"/>
                <w:highlight w:val="none"/>
                <w:lang w:val="en-US" w:eastAsia="zh-CN"/>
              </w:rPr>
              <w:t>可为本项目</w:t>
            </w:r>
            <w:r>
              <w:rPr>
                <w:rFonts w:hint="eastAsia" w:ascii="Times New Roman" w:hAnsi="Times New Roman" w:eastAsia="宋体" w:cstheme="minorEastAsia"/>
                <w:bCs/>
                <w:sz w:val="22"/>
                <w:szCs w:val="22"/>
                <w:highlight w:val="none"/>
              </w:rPr>
              <w:t>实施服务门诊</w:t>
            </w:r>
            <w:r>
              <w:rPr>
                <w:rFonts w:hint="eastAsia" w:ascii="Times New Roman" w:hAnsi="Times New Roman" w:eastAsia="宋体" w:cstheme="minorEastAsia"/>
                <w:bCs/>
                <w:sz w:val="22"/>
                <w:szCs w:val="22"/>
                <w:highlight w:val="none"/>
                <w:lang w:val="en-US" w:eastAsia="zh-CN"/>
              </w:rPr>
              <w:t>机构个数，及各门诊</w:t>
            </w:r>
            <w:r>
              <w:rPr>
                <w:rFonts w:hint="eastAsia" w:ascii="Times New Roman" w:hAnsi="Times New Roman" w:eastAsia="宋体" w:cstheme="minorEastAsia"/>
                <w:bCs/>
                <w:sz w:val="22"/>
                <w:szCs w:val="22"/>
                <w:highlight w:val="none"/>
              </w:rPr>
              <w:t>至</w:t>
            </w:r>
            <w:r>
              <w:rPr>
                <w:rFonts w:hint="eastAsia" w:ascii="Times New Roman" w:hAnsi="Times New Roman" w:eastAsia="宋体" w:cstheme="minorEastAsia"/>
                <w:bCs/>
                <w:sz w:val="22"/>
                <w:szCs w:val="22"/>
                <w:highlight w:val="none"/>
                <w:lang w:val="en-US" w:eastAsia="zh-CN"/>
              </w:rPr>
              <w:t>招标人办公地址</w:t>
            </w:r>
            <w:r>
              <w:rPr>
                <w:rFonts w:hint="eastAsia" w:ascii="Times New Roman" w:hAnsi="Times New Roman" w:eastAsia="宋体" w:cstheme="minorEastAsia"/>
                <w:bCs/>
                <w:sz w:val="22"/>
                <w:szCs w:val="22"/>
                <w:highlight w:val="none"/>
              </w:rPr>
              <w:t>直线距离</w:t>
            </w:r>
            <w:r>
              <w:rPr>
                <w:rFonts w:hint="eastAsia" w:ascii="Times New Roman" w:hAnsi="Times New Roman" w:eastAsia="宋体" w:cstheme="minorEastAsia"/>
                <w:bCs/>
                <w:sz w:val="22"/>
                <w:szCs w:val="22"/>
                <w:highlight w:val="none"/>
                <w:lang w:val="en-US" w:eastAsia="zh-CN"/>
              </w:rPr>
              <w:t>进行评分：</w:t>
            </w:r>
          </w:p>
          <w:p w14:paraId="40A6867D">
            <w:pPr>
              <w:keepNext w:val="0"/>
              <w:keepLines w:val="0"/>
              <w:pageBreakBefore w:val="0"/>
              <w:widowControl/>
              <w:numPr>
                <w:ilvl w:val="0"/>
                <w:numId w:val="9"/>
              </w:numPr>
              <w:kinsoku/>
              <w:wordWrap/>
              <w:overflowPunct/>
              <w:topLinePunct w:val="0"/>
              <w:autoSpaceDE/>
              <w:autoSpaceDN/>
              <w:bidi w:val="0"/>
              <w:adjustRightInd/>
              <w:snapToGrid/>
              <w:spacing w:line="260" w:lineRule="exact"/>
              <w:ind w:firstLine="440" w:firstLineChars="200"/>
              <w:jc w:val="left"/>
              <w:textAlignment w:val="auto"/>
              <w:rPr>
                <w:rFonts w:hint="eastAsia" w:ascii="Times New Roman" w:hAnsi="Times New Roman" w:eastAsia="宋体" w:cstheme="minorEastAsia"/>
                <w:bCs/>
                <w:sz w:val="22"/>
                <w:szCs w:val="22"/>
                <w:highlight w:val="none"/>
                <w:lang w:eastAsia="zh-CN"/>
              </w:rPr>
            </w:pPr>
            <w:r>
              <w:rPr>
                <w:rFonts w:hint="eastAsia" w:ascii="Times New Roman" w:hAnsi="Times New Roman" w:eastAsia="宋体" w:cs="仿宋_GB2312"/>
                <w:b w:val="0"/>
                <w:bCs/>
                <w:sz w:val="22"/>
                <w:szCs w:val="22"/>
                <w:highlight w:val="none"/>
                <w:lang w:val="en-US" w:eastAsia="zh-CN"/>
              </w:rPr>
              <w:t xml:space="preserve"> 每服务门诊直</w:t>
            </w:r>
            <w:r>
              <w:rPr>
                <w:rFonts w:hint="eastAsia" w:ascii="Times New Roman" w:hAnsi="Times New Roman" w:eastAsia="宋体" w:cstheme="minorEastAsia"/>
                <w:bCs/>
                <w:sz w:val="22"/>
                <w:szCs w:val="22"/>
                <w:highlight w:val="none"/>
                <w:lang w:val="en-US" w:eastAsia="zh-CN"/>
              </w:rPr>
              <w:t>线距离</w:t>
            </w:r>
            <w:r>
              <w:rPr>
                <w:rFonts w:hint="eastAsia" w:ascii="Times New Roman" w:hAnsi="Times New Roman" w:eastAsia="宋体" w:cs="微软雅黑"/>
                <w:b w:val="0"/>
                <w:bCs/>
                <w:sz w:val="22"/>
                <w:szCs w:val="22"/>
                <w:highlight w:val="none"/>
                <w:lang w:val="en-US" w:eastAsia="zh-CN"/>
              </w:rPr>
              <w:t>&lt;</w:t>
            </w:r>
            <w:r>
              <w:rPr>
                <w:rFonts w:hint="eastAsia" w:ascii="Times New Roman" w:hAnsi="Times New Roman" w:eastAsia="宋体" w:cstheme="minorEastAsia"/>
                <w:bCs/>
                <w:sz w:val="22"/>
                <w:szCs w:val="22"/>
                <w:highlight w:val="none"/>
                <w:lang w:val="en-US" w:eastAsia="zh-CN"/>
              </w:rPr>
              <w:t>3.5</w:t>
            </w:r>
            <w:r>
              <w:rPr>
                <w:rFonts w:hint="eastAsia" w:ascii="Times New Roman" w:hAnsi="Times New Roman" w:eastAsia="宋体" w:cstheme="minorEastAsia"/>
                <w:bCs/>
                <w:sz w:val="22"/>
                <w:szCs w:val="22"/>
                <w:highlight w:val="none"/>
              </w:rPr>
              <w:t>公里</w:t>
            </w:r>
            <w:r>
              <w:rPr>
                <w:rFonts w:hint="eastAsia" w:ascii="Times New Roman" w:hAnsi="Times New Roman" w:eastAsia="宋体" w:cstheme="minorEastAsia"/>
                <w:bCs/>
                <w:sz w:val="22"/>
                <w:szCs w:val="22"/>
                <w:highlight w:val="none"/>
                <w:lang w:val="en-US" w:eastAsia="zh-CN"/>
              </w:rPr>
              <w:t>的，各</w:t>
            </w:r>
            <w:r>
              <w:rPr>
                <w:rFonts w:hint="eastAsia" w:ascii="Times New Roman" w:hAnsi="Times New Roman" w:eastAsia="宋体" w:cstheme="minorEastAsia"/>
                <w:bCs/>
                <w:sz w:val="22"/>
                <w:szCs w:val="22"/>
                <w:highlight w:val="none"/>
              </w:rPr>
              <w:t>得</w:t>
            </w:r>
            <w:r>
              <w:rPr>
                <w:rFonts w:hint="eastAsia" w:ascii="Times New Roman" w:hAnsi="Times New Roman" w:eastAsia="宋体" w:cstheme="minorEastAsia"/>
                <w:bCs/>
                <w:sz w:val="22"/>
                <w:szCs w:val="22"/>
                <w:highlight w:val="none"/>
                <w:lang w:val="en-US" w:eastAsia="zh-CN"/>
              </w:rPr>
              <w:t>10</w:t>
            </w:r>
            <w:r>
              <w:rPr>
                <w:rFonts w:hint="eastAsia" w:ascii="Times New Roman" w:hAnsi="Times New Roman" w:eastAsia="宋体" w:cstheme="minorEastAsia"/>
                <w:bCs/>
                <w:sz w:val="22"/>
                <w:szCs w:val="22"/>
                <w:highlight w:val="none"/>
              </w:rPr>
              <w:t>分</w:t>
            </w:r>
            <w:r>
              <w:rPr>
                <w:rFonts w:hint="eastAsia" w:ascii="Times New Roman" w:hAnsi="Times New Roman" w:eastAsia="宋体" w:cstheme="minorEastAsia"/>
                <w:bCs/>
                <w:sz w:val="22"/>
                <w:szCs w:val="22"/>
                <w:highlight w:val="none"/>
                <w:lang w:eastAsia="zh-CN"/>
              </w:rPr>
              <w:t>；</w:t>
            </w:r>
          </w:p>
          <w:p w14:paraId="49E4E58F">
            <w:pPr>
              <w:keepNext w:val="0"/>
              <w:keepLines w:val="0"/>
              <w:pageBreakBefore w:val="0"/>
              <w:widowControl/>
              <w:numPr>
                <w:ilvl w:val="0"/>
                <w:numId w:val="9"/>
              </w:numPr>
              <w:kinsoku/>
              <w:wordWrap/>
              <w:overflowPunct/>
              <w:topLinePunct w:val="0"/>
              <w:autoSpaceDE/>
              <w:autoSpaceDN/>
              <w:bidi w:val="0"/>
              <w:adjustRightInd/>
              <w:snapToGrid/>
              <w:spacing w:line="260" w:lineRule="exact"/>
              <w:ind w:left="0" w:leftChars="0" w:firstLine="440" w:firstLineChars="200"/>
              <w:jc w:val="left"/>
              <w:textAlignment w:val="auto"/>
              <w:rPr>
                <w:rFonts w:hint="eastAsia" w:ascii="Times New Roman" w:hAnsi="Times New Roman" w:eastAsia="宋体" w:cstheme="minorEastAsia"/>
                <w:bCs/>
                <w:sz w:val="22"/>
                <w:szCs w:val="22"/>
                <w:highlight w:val="none"/>
                <w:lang w:eastAsia="zh-CN"/>
              </w:rPr>
            </w:pPr>
            <w:r>
              <w:rPr>
                <w:rFonts w:hint="eastAsia" w:ascii="Times New Roman" w:hAnsi="Times New Roman" w:eastAsia="宋体" w:cs="Times New Roman"/>
                <w:b w:val="0"/>
                <w:bCs/>
                <w:sz w:val="22"/>
                <w:szCs w:val="22"/>
                <w:highlight w:val="none"/>
                <w:lang w:val="en-US" w:eastAsia="zh-CN"/>
              </w:rPr>
              <w:t xml:space="preserve"> 3.5</w:t>
            </w:r>
            <w:r>
              <w:rPr>
                <w:rFonts w:hint="eastAsia" w:ascii="Times New Roman" w:hAnsi="Times New Roman" w:eastAsia="宋体" w:cstheme="minorEastAsia"/>
                <w:bCs/>
                <w:sz w:val="22"/>
                <w:szCs w:val="22"/>
                <w:highlight w:val="none"/>
                <w:lang w:val="en-US" w:eastAsia="zh-CN"/>
              </w:rPr>
              <w:t>公里</w:t>
            </w:r>
            <w:r>
              <w:rPr>
                <w:rFonts w:hint="eastAsia" w:ascii="Times New Roman" w:hAnsi="Times New Roman" w:eastAsia="宋体" w:cs="微软雅黑"/>
                <w:b w:val="0"/>
                <w:bCs/>
                <w:sz w:val="22"/>
                <w:szCs w:val="22"/>
                <w:highlight w:val="none"/>
                <w:lang w:val="en-US" w:eastAsia="zh-CN"/>
              </w:rPr>
              <w:t>≦每</w:t>
            </w:r>
            <w:r>
              <w:rPr>
                <w:rFonts w:hint="eastAsia" w:ascii="Times New Roman" w:hAnsi="Times New Roman" w:eastAsia="宋体" w:cs="仿宋_GB2312"/>
                <w:b w:val="0"/>
                <w:bCs/>
                <w:sz w:val="22"/>
                <w:szCs w:val="22"/>
                <w:highlight w:val="none"/>
                <w:lang w:val="en-US" w:eastAsia="zh-CN"/>
              </w:rPr>
              <w:t>服务门诊直</w:t>
            </w:r>
            <w:r>
              <w:rPr>
                <w:rFonts w:hint="eastAsia" w:ascii="Times New Roman" w:hAnsi="Times New Roman" w:eastAsia="宋体" w:cstheme="minorEastAsia"/>
                <w:bCs/>
                <w:sz w:val="22"/>
                <w:szCs w:val="22"/>
                <w:highlight w:val="none"/>
                <w:lang w:val="en-US" w:eastAsia="zh-CN"/>
              </w:rPr>
              <w:t>线距离</w:t>
            </w:r>
            <w:r>
              <w:rPr>
                <w:rFonts w:hint="eastAsia" w:ascii="Times New Roman" w:hAnsi="Times New Roman" w:eastAsia="宋体" w:cs="微软雅黑"/>
                <w:bCs/>
                <w:sz w:val="22"/>
                <w:szCs w:val="22"/>
                <w:highlight w:val="none"/>
              </w:rPr>
              <w:t>≦</w:t>
            </w:r>
            <w:r>
              <w:rPr>
                <w:rFonts w:hint="eastAsia" w:ascii="Times New Roman" w:hAnsi="Times New Roman" w:eastAsia="宋体" w:cstheme="minorEastAsia"/>
                <w:bCs/>
                <w:sz w:val="22"/>
                <w:szCs w:val="22"/>
                <w:highlight w:val="none"/>
                <w:lang w:val="en-US" w:eastAsia="zh-CN"/>
              </w:rPr>
              <w:t>4</w:t>
            </w:r>
            <w:r>
              <w:rPr>
                <w:rFonts w:hint="eastAsia" w:ascii="Times New Roman" w:hAnsi="Times New Roman" w:eastAsia="宋体" w:cstheme="minorEastAsia"/>
                <w:bCs/>
                <w:sz w:val="22"/>
                <w:szCs w:val="22"/>
                <w:highlight w:val="none"/>
              </w:rPr>
              <w:t>公里的</w:t>
            </w:r>
            <w:r>
              <w:rPr>
                <w:rFonts w:hint="eastAsia" w:ascii="Times New Roman" w:hAnsi="Times New Roman" w:eastAsia="宋体" w:cstheme="minorEastAsia"/>
                <w:bCs/>
                <w:sz w:val="22"/>
                <w:szCs w:val="22"/>
                <w:highlight w:val="none"/>
                <w:lang w:eastAsia="zh-CN"/>
              </w:rPr>
              <w:t>，</w:t>
            </w:r>
            <w:r>
              <w:rPr>
                <w:rFonts w:hint="eastAsia" w:ascii="Times New Roman" w:hAnsi="Times New Roman" w:eastAsia="宋体" w:cstheme="minorEastAsia"/>
                <w:bCs/>
                <w:sz w:val="22"/>
                <w:szCs w:val="22"/>
                <w:highlight w:val="none"/>
                <w:lang w:val="en-US" w:eastAsia="zh-CN"/>
              </w:rPr>
              <w:t>各</w:t>
            </w:r>
            <w:r>
              <w:rPr>
                <w:rFonts w:hint="eastAsia" w:ascii="Times New Roman" w:hAnsi="Times New Roman" w:eastAsia="宋体" w:cstheme="minorEastAsia"/>
                <w:bCs/>
                <w:sz w:val="22"/>
                <w:szCs w:val="22"/>
                <w:highlight w:val="none"/>
              </w:rPr>
              <w:t>得</w:t>
            </w:r>
            <w:r>
              <w:rPr>
                <w:rFonts w:hint="eastAsia" w:ascii="Times New Roman" w:hAnsi="Times New Roman" w:eastAsia="宋体" w:cstheme="minorEastAsia"/>
                <w:bCs/>
                <w:sz w:val="22"/>
                <w:szCs w:val="22"/>
                <w:highlight w:val="none"/>
                <w:lang w:val="en-US" w:eastAsia="zh-CN"/>
              </w:rPr>
              <w:t>5</w:t>
            </w:r>
            <w:r>
              <w:rPr>
                <w:rFonts w:hint="eastAsia" w:ascii="Times New Roman" w:hAnsi="Times New Roman" w:eastAsia="宋体" w:cstheme="minorEastAsia"/>
                <w:bCs/>
                <w:sz w:val="22"/>
                <w:szCs w:val="22"/>
                <w:highlight w:val="none"/>
              </w:rPr>
              <w:t>分</w:t>
            </w:r>
            <w:r>
              <w:rPr>
                <w:rFonts w:hint="eastAsia" w:ascii="Times New Roman" w:hAnsi="Times New Roman" w:eastAsia="宋体" w:cstheme="minorEastAsia"/>
                <w:bCs/>
                <w:sz w:val="22"/>
                <w:szCs w:val="22"/>
                <w:highlight w:val="none"/>
                <w:lang w:eastAsia="zh-CN"/>
              </w:rPr>
              <w:t>；</w:t>
            </w:r>
          </w:p>
          <w:p w14:paraId="127A9D09">
            <w:pPr>
              <w:keepNext w:val="0"/>
              <w:keepLines w:val="0"/>
              <w:pageBreakBefore w:val="0"/>
              <w:widowControl/>
              <w:numPr>
                <w:ilvl w:val="0"/>
                <w:numId w:val="9"/>
              </w:numPr>
              <w:kinsoku/>
              <w:wordWrap/>
              <w:overflowPunct/>
              <w:topLinePunct w:val="0"/>
              <w:autoSpaceDE/>
              <w:autoSpaceDN/>
              <w:bidi w:val="0"/>
              <w:adjustRightInd/>
              <w:snapToGrid/>
              <w:spacing w:line="260" w:lineRule="exact"/>
              <w:ind w:left="0" w:leftChars="0" w:firstLine="440" w:firstLineChars="200"/>
              <w:jc w:val="left"/>
              <w:textAlignment w:val="auto"/>
              <w:rPr>
                <w:rFonts w:hint="eastAsia" w:ascii="Times New Roman" w:hAnsi="Times New Roman" w:eastAsia="宋体" w:cstheme="minorEastAsia"/>
                <w:bCs/>
                <w:sz w:val="22"/>
                <w:szCs w:val="22"/>
                <w:highlight w:val="none"/>
                <w:lang w:val="en-US" w:eastAsia="zh-CN"/>
              </w:rPr>
            </w:pPr>
            <w:r>
              <w:rPr>
                <w:rFonts w:hint="eastAsia" w:ascii="Times New Roman" w:hAnsi="Times New Roman" w:eastAsia="宋体" w:cs="仿宋_GB2312"/>
                <w:bCs/>
                <w:sz w:val="22"/>
                <w:szCs w:val="22"/>
                <w:highlight w:val="none"/>
                <w:lang w:val="en-US" w:eastAsia="zh-CN"/>
              </w:rPr>
              <w:t xml:space="preserve"> 每个</w:t>
            </w:r>
            <w:r>
              <w:rPr>
                <w:rFonts w:hint="eastAsia" w:ascii="Times New Roman" w:hAnsi="Times New Roman" w:eastAsia="宋体" w:cs="仿宋_GB2312"/>
                <w:b w:val="0"/>
                <w:bCs/>
                <w:sz w:val="22"/>
                <w:szCs w:val="22"/>
                <w:highlight w:val="none"/>
                <w:lang w:val="en-US" w:eastAsia="zh-CN"/>
              </w:rPr>
              <w:t>服务门诊</w:t>
            </w:r>
            <w:r>
              <w:rPr>
                <w:rFonts w:hint="eastAsia" w:ascii="Times New Roman" w:hAnsi="Times New Roman" w:eastAsia="宋体" w:cstheme="minorEastAsia"/>
                <w:bCs/>
                <w:sz w:val="22"/>
                <w:szCs w:val="22"/>
                <w:highlight w:val="none"/>
                <w:lang w:val="en-US" w:eastAsia="zh-CN"/>
              </w:rPr>
              <w:t>直线距离</w:t>
            </w:r>
            <w:r>
              <w:rPr>
                <w:rFonts w:hint="eastAsia" w:ascii="Times New Roman" w:hAnsi="Times New Roman" w:eastAsia="宋体" w:cs="微软雅黑"/>
                <w:b w:val="0"/>
                <w:bCs/>
                <w:sz w:val="22"/>
                <w:szCs w:val="22"/>
                <w:highlight w:val="none"/>
                <w:lang w:val="en-US" w:eastAsia="zh-CN"/>
              </w:rPr>
              <w:t>&gt;</w:t>
            </w:r>
            <w:r>
              <w:rPr>
                <w:rFonts w:hint="eastAsia" w:ascii="Times New Roman" w:hAnsi="Times New Roman" w:eastAsia="宋体" w:cstheme="minorEastAsia"/>
                <w:bCs/>
                <w:sz w:val="22"/>
                <w:szCs w:val="22"/>
                <w:highlight w:val="none"/>
                <w:lang w:val="en-US" w:eastAsia="zh-CN"/>
              </w:rPr>
              <w:t>4</w:t>
            </w:r>
            <w:r>
              <w:rPr>
                <w:rFonts w:hint="eastAsia" w:ascii="Times New Roman" w:hAnsi="Times New Roman" w:eastAsia="宋体" w:cstheme="minorEastAsia"/>
                <w:bCs/>
                <w:sz w:val="22"/>
                <w:szCs w:val="22"/>
                <w:highlight w:val="none"/>
              </w:rPr>
              <w:t>公里的，</w:t>
            </w:r>
            <w:r>
              <w:rPr>
                <w:rFonts w:hint="eastAsia" w:ascii="Times New Roman" w:hAnsi="Times New Roman" w:eastAsia="宋体" w:cstheme="minorEastAsia"/>
                <w:bCs/>
                <w:sz w:val="22"/>
                <w:szCs w:val="22"/>
                <w:highlight w:val="none"/>
                <w:lang w:val="en-US" w:eastAsia="zh-CN"/>
              </w:rPr>
              <w:t>该服务门诊不得分；</w:t>
            </w:r>
          </w:p>
          <w:p w14:paraId="6A776605">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40" w:firstLineChars="200"/>
              <w:jc w:val="left"/>
              <w:textAlignment w:val="auto"/>
              <w:rPr>
                <w:rFonts w:hint="eastAsia" w:ascii="Times New Roman" w:hAnsi="Times New Roman" w:eastAsia="宋体" w:cstheme="minorEastAsia"/>
                <w:bCs/>
                <w:sz w:val="22"/>
                <w:szCs w:val="22"/>
                <w:highlight w:val="none"/>
              </w:rPr>
            </w:pPr>
            <w:r>
              <w:rPr>
                <w:rFonts w:hint="eastAsia" w:ascii="Times New Roman" w:hAnsi="Times New Roman" w:eastAsia="宋体" w:cstheme="minorEastAsia"/>
                <w:bCs/>
                <w:sz w:val="22"/>
                <w:szCs w:val="22"/>
                <w:highlight w:val="none"/>
                <w:lang w:val="en-US" w:eastAsia="zh-CN"/>
              </w:rPr>
              <w:t>本项满分30分</w:t>
            </w:r>
            <w:r>
              <w:rPr>
                <w:rFonts w:hint="eastAsia" w:ascii="Times New Roman" w:hAnsi="Times New Roman" w:eastAsia="宋体" w:cstheme="minorEastAsia"/>
                <w:bCs/>
                <w:sz w:val="22"/>
                <w:szCs w:val="22"/>
                <w:highlight w:val="none"/>
              </w:rPr>
              <w:t>。</w:t>
            </w:r>
          </w:p>
          <w:p w14:paraId="2C9E2A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宋体" w:cstheme="minorEastAsia"/>
                <w:bCs/>
                <w:sz w:val="22"/>
                <w:szCs w:val="22"/>
                <w:highlight w:val="none"/>
                <w:lang w:eastAsia="zh-CN"/>
              </w:rPr>
            </w:pPr>
            <w:r>
              <w:rPr>
                <w:rFonts w:hint="eastAsia" w:ascii="Times New Roman" w:hAnsi="Times New Roman" w:eastAsia="宋体" w:cstheme="minorEastAsia"/>
                <w:b/>
                <w:bCs w:val="0"/>
                <w:sz w:val="22"/>
                <w:szCs w:val="22"/>
                <w:highlight w:val="none"/>
                <w:lang w:val="en-US" w:eastAsia="zh-CN"/>
              </w:rPr>
              <w:t>证明材料：</w:t>
            </w:r>
            <w:r>
              <w:rPr>
                <w:rFonts w:hint="eastAsia" w:ascii="Times New Roman" w:hAnsi="Times New Roman" w:eastAsia="宋体" w:cstheme="minorEastAsia"/>
                <w:b w:val="0"/>
                <w:bCs/>
                <w:sz w:val="22"/>
                <w:szCs w:val="22"/>
                <w:highlight w:val="none"/>
                <w:lang w:val="en-US" w:eastAsia="zh-CN"/>
              </w:rPr>
              <w:t>1.</w:t>
            </w:r>
            <w:r>
              <w:rPr>
                <w:rFonts w:hint="eastAsia" w:ascii="Times New Roman" w:hAnsi="Times New Roman" w:eastAsia="宋体" w:cstheme="minorEastAsia"/>
                <w:bCs/>
                <w:sz w:val="22"/>
                <w:szCs w:val="22"/>
                <w:highlight w:val="none"/>
              </w:rPr>
              <w:t>以百度地图</w:t>
            </w:r>
            <w:r>
              <w:rPr>
                <w:rFonts w:hint="eastAsia" w:ascii="Times New Roman" w:hAnsi="Times New Roman" w:eastAsia="宋体" w:cstheme="minorEastAsia"/>
                <w:bCs/>
                <w:sz w:val="22"/>
                <w:szCs w:val="22"/>
                <w:highlight w:val="none"/>
                <w:lang w:val="en-US" w:eastAsia="zh-CN"/>
              </w:rPr>
              <w:t>-工具箱-测距工具</w:t>
            </w:r>
            <w:r>
              <w:rPr>
                <w:rFonts w:hint="eastAsia" w:ascii="Times New Roman" w:hAnsi="Times New Roman" w:eastAsia="宋体" w:cstheme="minorEastAsia"/>
                <w:bCs/>
                <w:sz w:val="22"/>
                <w:szCs w:val="22"/>
                <w:highlight w:val="none"/>
              </w:rPr>
              <w:t>显示</w:t>
            </w:r>
            <w:r>
              <w:rPr>
                <w:rFonts w:hint="eastAsia" w:ascii="Times New Roman" w:hAnsi="Times New Roman" w:eastAsia="宋体" w:cstheme="minorEastAsia"/>
                <w:bCs/>
                <w:sz w:val="22"/>
                <w:szCs w:val="22"/>
                <w:highlight w:val="none"/>
                <w:lang w:val="en-US" w:eastAsia="zh-CN"/>
              </w:rPr>
              <w:t>距离</w:t>
            </w:r>
            <w:r>
              <w:rPr>
                <w:rFonts w:hint="eastAsia" w:ascii="Times New Roman" w:hAnsi="Times New Roman" w:eastAsia="宋体" w:cstheme="minorEastAsia"/>
                <w:bCs/>
                <w:sz w:val="22"/>
                <w:szCs w:val="22"/>
                <w:highlight w:val="none"/>
              </w:rPr>
              <w:t>信息为准</w:t>
            </w:r>
            <w:r>
              <w:rPr>
                <w:rFonts w:hint="eastAsia" w:ascii="Times New Roman" w:hAnsi="Times New Roman" w:eastAsia="宋体" w:cstheme="minorEastAsia"/>
                <w:bCs/>
                <w:sz w:val="22"/>
                <w:szCs w:val="22"/>
                <w:highlight w:val="none"/>
                <w:lang w:eastAsia="zh-CN"/>
              </w:rPr>
              <w:t>。</w:t>
            </w:r>
          </w:p>
          <w:p w14:paraId="77560C1D">
            <w:pPr>
              <w:keepNext w:val="0"/>
              <w:keepLines w:val="0"/>
              <w:pageBreakBefore w:val="0"/>
              <w:widowControl/>
              <w:kinsoku/>
              <w:wordWrap/>
              <w:overflowPunct/>
              <w:topLinePunct w:val="0"/>
              <w:autoSpaceDE/>
              <w:autoSpaceDN/>
              <w:bidi w:val="0"/>
              <w:adjustRightInd/>
              <w:snapToGrid/>
              <w:spacing w:line="260" w:lineRule="exact"/>
              <w:ind w:firstLine="1100" w:firstLineChars="500"/>
              <w:jc w:val="left"/>
              <w:textAlignment w:val="auto"/>
              <w:rPr>
                <w:rFonts w:hint="default" w:ascii="Times New Roman" w:hAnsi="Times New Roman" w:eastAsia="宋体" w:cstheme="minorEastAsia"/>
                <w:bCs/>
                <w:sz w:val="22"/>
                <w:szCs w:val="22"/>
                <w:highlight w:val="none"/>
                <w:lang w:val="en-US" w:eastAsia="zh-CN"/>
              </w:rPr>
            </w:pPr>
            <w:r>
              <w:rPr>
                <w:rFonts w:hint="eastAsia" w:ascii="Times New Roman" w:hAnsi="Times New Roman" w:eastAsia="宋体" w:cstheme="minorEastAsia"/>
                <w:bCs/>
                <w:sz w:val="22"/>
                <w:szCs w:val="22"/>
                <w:highlight w:val="none"/>
                <w:lang w:val="en-US" w:eastAsia="zh-CN"/>
              </w:rPr>
              <w:t>2.根据</w:t>
            </w:r>
            <w:r>
              <w:rPr>
                <w:rFonts w:hint="eastAsia" w:ascii="Times New Roman" w:hAnsi="Times New Roman" w:eastAsia="宋体" w:cstheme="minorEastAsia"/>
                <w:b w:val="0"/>
                <w:bCs/>
                <w:sz w:val="22"/>
                <w:szCs w:val="22"/>
                <w:highlight w:val="none"/>
                <w:lang w:val="en-US" w:eastAsia="zh-CN"/>
              </w:rPr>
              <w:t>投标人提供的服务门诊服务方案内容实施评分。</w:t>
            </w:r>
          </w:p>
        </w:tc>
        <w:tc>
          <w:tcPr>
            <w:tcW w:w="421" w:type="pct"/>
            <w:tcBorders>
              <w:tl2br w:val="nil"/>
              <w:tr2bl w:val="nil"/>
            </w:tcBorders>
            <w:vAlign w:val="center"/>
          </w:tcPr>
          <w:p w14:paraId="1308F58C">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heme="minorEastAsia"/>
                <w:b w:val="0"/>
                <w:bCs/>
                <w:sz w:val="24"/>
                <w:szCs w:val="24"/>
                <w:highlight w:val="none"/>
                <w:lang w:val="en-US" w:eastAsia="zh-CN"/>
              </w:rPr>
            </w:pPr>
            <w:r>
              <w:rPr>
                <w:rFonts w:hint="eastAsia" w:ascii="Times New Roman" w:hAnsi="Times New Roman" w:eastAsia="宋体" w:cstheme="minorEastAsia"/>
                <w:b w:val="0"/>
                <w:bCs/>
                <w:sz w:val="24"/>
                <w:szCs w:val="24"/>
                <w:highlight w:val="none"/>
                <w:lang w:val="en-US" w:eastAsia="zh-CN"/>
              </w:rPr>
              <w:t>30分</w:t>
            </w:r>
          </w:p>
        </w:tc>
      </w:tr>
      <w:tr w14:paraId="244C02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4578" w:type="pct"/>
            <w:gridSpan w:val="3"/>
            <w:tcBorders>
              <w:tl2br w:val="nil"/>
              <w:tr2bl w:val="nil"/>
            </w:tcBorders>
            <w:vAlign w:val="center"/>
          </w:tcPr>
          <w:p w14:paraId="4BFA5D92">
            <w:pPr>
              <w:keepNext w:val="0"/>
              <w:keepLines w:val="0"/>
              <w:pageBreakBefore w:val="0"/>
              <w:kinsoku/>
              <w:wordWrap/>
              <w:overflowPunct/>
              <w:topLinePunct w:val="0"/>
              <w:autoSpaceDE/>
              <w:autoSpaceDN/>
              <w:bidi w:val="0"/>
              <w:spacing w:line="260" w:lineRule="exact"/>
              <w:jc w:val="center"/>
              <w:textAlignment w:val="auto"/>
              <w:rPr>
                <w:rFonts w:hint="eastAsia" w:ascii="Times New Roman" w:hAnsi="Times New Roman" w:eastAsia="宋体" w:cstheme="minorEastAsia"/>
                <w:b w:val="0"/>
                <w:bCs/>
                <w:sz w:val="24"/>
                <w:szCs w:val="24"/>
                <w:highlight w:val="none"/>
              </w:rPr>
            </w:pPr>
            <w:r>
              <w:rPr>
                <w:rFonts w:hint="eastAsia" w:ascii="Times New Roman" w:hAnsi="Times New Roman" w:eastAsia="宋体" w:cstheme="minorEastAsia"/>
                <w:b/>
                <w:bCs w:val="0"/>
                <w:sz w:val="24"/>
                <w:szCs w:val="24"/>
                <w:highlight w:val="none"/>
              </w:rPr>
              <w:t>合计</w:t>
            </w:r>
          </w:p>
        </w:tc>
        <w:tc>
          <w:tcPr>
            <w:tcW w:w="421" w:type="pct"/>
            <w:tcBorders>
              <w:tl2br w:val="nil"/>
              <w:tr2bl w:val="nil"/>
            </w:tcBorders>
            <w:vAlign w:val="center"/>
          </w:tcPr>
          <w:p w14:paraId="0FE80F87">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宋体" w:cstheme="minorEastAsia"/>
                <w:b w:val="0"/>
                <w:bCs/>
                <w:sz w:val="24"/>
                <w:szCs w:val="24"/>
                <w:highlight w:val="none"/>
              </w:rPr>
            </w:pPr>
            <w:r>
              <w:rPr>
                <w:rFonts w:hint="eastAsia" w:ascii="Times New Roman" w:hAnsi="Times New Roman" w:eastAsia="宋体" w:cstheme="minorEastAsia"/>
                <w:b w:val="0"/>
                <w:bCs/>
                <w:sz w:val="24"/>
                <w:szCs w:val="24"/>
                <w:highlight w:val="none"/>
              </w:rPr>
              <w:t>100分</w:t>
            </w:r>
          </w:p>
        </w:tc>
      </w:tr>
    </w:tbl>
    <w:p w14:paraId="29D98665">
      <w:pPr>
        <w:keepNext w:val="0"/>
        <w:keepLines w:val="0"/>
        <w:pageBreakBefore w:val="0"/>
        <w:widowControl w:val="0"/>
        <w:kinsoku/>
        <w:wordWrap/>
        <w:overflowPunct/>
        <w:topLinePunct w:val="0"/>
        <w:autoSpaceDE/>
        <w:autoSpaceDN/>
        <w:bidi w:val="0"/>
        <w:adjustRightInd w:val="0"/>
        <w:snapToGrid w:val="0"/>
        <w:spacing w:line="24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说明：</w:t>
      </w:r>
    </w:p>
    <w:p w14:paraId="07D494C9">
      <w:pPr>
        <w:keepNext w:val="0"/>
        <w:keepLines w:val="0"/>
        <w:pageBreakBefore w:val="0"/>
        <w:widowControl w:val="0"/>
        <w:kinsoku/>
        <w:wordWrap/>
        <w:overflowPunct/>
        <w:topLinePunct w:val="0"/>
        <w:autoSpaceDE/>
        <w:autoSpaceDN/>
        <w:bidi w:val="0"/>
        <w:adjustRightInd w:val="0"/>
        <w:snapToGrid w:val="0"/>
        <w:spacing w:line="24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1.本表评审依据要求的各项证明文件须编入投标文件，复印件加盖投标人公章。</w:t>
      </w:r>
    </w:p>
    <w:p w14:paraId="02A67812">
      <w:pPr>
        <w:keepNext w:val="0"/>
        <w:keepLines w:val="0"/>
        <w:pageBreakBefore w:val="0"/>
        <w:widowControl w:val="0"/>
        <w:kinsoku/>
        <w:wordWrap/>
        <w:overflowPunct/>
        <w:topLinePunct w:val="0"/>
        <w:autoSpaceDE/>
        <w:autoSpaceDN/>
        <w:bidi w:val="0"/>
        <w:adjustRightInd w:val="0"/>
        <w:snapToGrid w:val="0"/>
        <w:spacing w:line="24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2.表中要求提供相关证明文件的内容，投标文件中须明确加以说明并提供，未按要求提供相关文件或说明不清楚或评标专家组无法凭所提供的材料判断是否得分的情况，一律作不得分处理。</w:t>
      </w:r>
    </w:p>
    <w:p w14:paraId="5DBA76DA">
      <w:pPr>
        <w:keepNext w:val="0"/>
        <w:keepLines w:val="0"/>
        <w:pageBreakBefore w:val="0"/>
        <w:widowControl w:val="0"/>
        <w:kinsoku/>
        <w:wordWrap/>
        <w:overflowPunct/>
        <w:topLinePunct w:val="0"/>
        <w:autoSpaceDE/>
        <w:autoSpaceDN/>
        <w:bidi w:val="0"/>
        <w:adjustRightInd w:val="0"/>
        <w:snapToGrid w:val="0"/>
        <w:spacing w:line="240" w:lineRule="exact"/>
        <w:ind w:firstLine="480" w:firstLineChars="200"/>
        <w:textAlignment w:val="auto"/>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3.本表要求提交的所有复印件需清晰完整，否则招标人有权视为无效，并根据具体文件性质予以扣减或废标处理。</w:t>
      </w:r>
    </w:p>
    <w:p w14:paraId="133B1E27">
      <w:pPr>
        <w:keepNext/>
        <w:keepLines/>
        <w:pageBreakBefore w:val="0"/>
        <w:widowControl/>
        <w:numPr>
          <w:ilvl w:val="3"/>
          <w:numId w:val="0"/>
        </w:numPr>
        <w:kinsoku/>
        <w:wordWrap/>
        <w:overflowPunct/>
        <w:topLinePunct w:val="0"/>
        <w:autoSpaceDE/>
        <w:autoSpaceDN/>
        <w:bidi w:val="0"/>
        <w:adjustRightInd w:val="0"/>
        <w:snapToGrid w:val="0"/>
        <w:spacing w:line="240" w:lineRule="exact"/>
        <w:ind w:firstLine="640" w:firstLineChars="200"/>
        <w:jc w:val="left"/>
        <w:textAlignment w:val="auto"/>
        <w:outlineLvl w:val="3"/>
        <w:rPr>
          <w:rFonts w:hint="eastAsia" w:ascii="仿宋_GB2312" w:hAnsi="仿宋_GB2312" w:eastAsia="仿宋_GB2312" w:cs="仿宋_GB2312"/>
          <w:b w:val="0"/>
          <w:bCs/>
          <w:sz w:val="24"/>
          <w:szCs w:val="24"/>
          <w:highlight w:val="none"/>
        </w:rPr>
      </w:pPr>
      <w:r>
        <w:rPr>
          <w:rFonts w:hint="eastAsia" w:ascii="仿宋" w:hAnsi="仿宋" w:eastAsia="仿宋" w:cs="仿宋"/>
          <w:b w:val="0"/>
          <w:bCs/>
          <w:sz w:val="32"/>
          <w:szCs w:val="32"/>
          <w:highlight w:val="none"/>
        </w:rPr>
        <w:br w:type="page"/>
      </w:r>
      <w:r>
        <w:rPr>
          <w:rFonts w:hint="eastAsia" w:ascii="仿宋_GB2312" w:hAnsi="仿宋_GB2312" w:eastAsia="仿宋_GB2312" w:cs="仿宋_GB2312"/>
          <w:b w:val="0"/>
          <w:bCs/>
          <w:sz w:val="24"/>
          <w:szCs w:val="24"/>
          <w:highlight w:val="none"/>
        </w:rPr>
        <w:t>附表2-1 《价格标评分方法》</w:t>
      </w:r>
    </w:p>
    <w:tbl>
      <w:tblPr>
        <w:tblStyle w:val="15"/>
        <w:tblpPr w:leftFromText="180" w:rightFromText="180" w:vertAnchor="text" w:horzAnchor="page" w:tblpXSpec="center" w:tblpY="1287"/>
        <w:tblOverlap w:val="never"/>
        <w:tblW w:w="50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514"/>
        <w:gridCol w:w="2449"/>
        <w:gridCol w:w="873"/>
        <w:gridCol w:w="3675"/>
      </w:tblGrid>
      <w:tr w14:paraId="1458EF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395" w:type="pct"/>
            <w:tcBorders>
              <w:tl2br w:val="nil"/>
              <w:tr2bl w:val="nil"/>
            </w:tcBorders>
            <w:vAlign w:val="center"/>
          </w:tcPr>
          <w:p w14:paraId="3B4763CC">
            <w:pPr>
              <w:keepNext w:val="0"/>
              <w:keepLines w:val="0"/>
              <w:pageBreakBefore w:val="0"/>
              <w:kinsoku/>
              <w:wordWrap/>
              <w:overflowPunct/>
              <w:topLinePunct w:val="0"/>
              <w:autoSpaceDE/>
              <w:autoSpaceDN/>
              <w:bidi w:val="0"/>
              <w:spacing w:line="280" w:lineRule="exact"/>
              <w:jc w:val="center"/>
              <w:textAlignment w:val="auto"/>
              <w:rPr>
                <w:rFonts w:hint="eastAsia" w:ascii="Times New Roman" w:hAnsi="Times New Roman" w:eastAsia="仿宋_GB2312" w:cs="宋体"/>
                <w:b/>
                <w:bCs w:val="0"/>
                <w:sz w:val="24"/>
                <w:szCs w:val="24"/>
                <w:highlight w:val="none"/>
              </w:rPr>
            </w:pPr>
            <w:r>
              <w:rPr>
                <w:rFonts w:hint="eastAsia" w:ascii="Times New Roman" w:hAnsi="Times New Roman" w:eastAsia="仿宋_GB2312" w:cs="宋体"/>
                <w:b/>
                <w:bCs w:val="0"/>
                <w:sz w:val="24"/>
                <w:szCs w:val="24"/>
                <w:highlight w:val="none"/>
              </w:rPr>
              <w:t>序号</w:t>
            </w:r>
          </w:p>
        </w:tc>
        <w:tc>
          <w:tcPr>
            <w:tcW w:w="819" w:type="pct"/>
            <w:tcBorders>
              <w:tl2br w:val="nil"/>
              <w:tr2bl w:val="nil"/>
            </w:tcBorders>
            <w:vAlign w:val="center"/>
          </w:tcPr>
          <w:p w14:paraId="6D8A4D82">
            <w:pPr>
              <w:keepNext w:val="0"/>
              <w:keepLines w:val="0"/>
              <w:pageBreakBefore w:val="0"/>
              <w:widowControl/>
              <w:kinsoku/>
              <w:wordWrap/>
              <w:overflowPunct/>
              <w:topLinePunct w:val="0"/>
              <w:autoSpaceDE/>
              <w:autoSpaceDN/>
              <w:bidi w:val="0"/>
              <w:adjustRightInd w:val="0"/>
              <w:snapToGrid w:val="0"/>
              <w:spacing w:line="280" w:lineRule="exact"/>
              <w:ind w:firstLine="241" w:firstLineChars="100"/>
              <w:textAlignment w:val="auto"/>
              <w:rPr>
                <w:rFonts w:hint="eastAsia" w:ascii="Times New Roman" w:hAnsi="Times New Roman" w:eastAsia="仿宋_GB2312" w:cs="宋体"/>
                <w:b/>
                <w:bCs w:val="0"/>
                <w:sz w:val="24"/>
                <w:szCs w:val="24"/>
                <w:highlight w:val="none"/>
              </w:rPr>
            </w:pPr>
            <w:r>
              <w:rPr>
                <w:rFonts w:hint="eastAsia" w:ascii="Times New Roman" w:hAnsi="Times New Roman" w:eastAsia="仿宋_GB2312" w:cs="宋体"/>
                <w:b/>
                <w:bCs w:val="0"/>
                <w:sz w:val="24"/>
                <w:szCs w:val="24"/>
                <w:highlight w:val="none"/>
              </w:rPr>
              <w:t>评分因素</w:t>
            </w:r>
          </w:p>
        </w:tc>
        <w:tc>
          <w:tcPr>
            <w:tcW w:w="1324" w:type="pct"/>
            <w:tcBorders>
              <w:tl2br w:val="nil"/>
              <w:tr2bl w:val="nil"/>
            </w:tcBorders>
            <w:vAlign w:val="center"/>
          </w:tcPr>
          <w:p w14:paraId="360910BD">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仿宋_GB2312" w:cs="宋体"/>
                <w:b/>
                <w:bCs w:val="0"/>
                <w:sz w:val="24"/>
                <w:szCs w:val="24"/>
                <w:highlight w:val="none"/>
              </w:rPr>
            </w:pPr>
            <w:r>
              <w:rPr>
                <w:rFonts w:hint="eastAsia" w:ascii="Times New Roman" w:hAnsi="Times New Roman" w:eastAsia="仿宋_GB2312" w:cs="宋体"/>
                <w:b/>
                <w:bCs w:val="0"/>
                <w:sz w:val="24"/>
                <w:szCs w:val="24"/>
                <w:highlight w:val="none"/>
              </w:rPr>
              <w:t>评分准则</w:t>
            </w:r>
          </w:p>
        </w:tc>
        <w:tc>
          <w:tcPr>
            <w:tcW w:w="472" w:type="pct"/>
            <w:tcBorders>
              <w:tl2br w:val="nil"/>
              <w:tr2bl w:val="nil"/>
            </w:tcBorders>
            <w:vAlign w:val="center"/>
          </w:tcPr>
          <w:p w14:paraId="042EEB8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仿宋_GB2312" w:cs="宋体"/>
                <w:b/>
                <w:bCs w:val="0"/>
                <w:sz w:val="24"/>
                <w:szCs w:val="24"/>
                <w:highlight w:val="none"/>
              </w:rPr>
            </w:pPr>
            <w:r>
              <w:rPr>
                <w:rFonts w:hint="eastAsia" w:ascii="Times New Roman" w:hAnsi="Times New Roman" w:eastAsia="仿宋_GB2312" w:cs="宋体"/>
                <w:b/>
                <w:bCs w:val="0"/>
                <w:sz w:val="24"/>
                <w:szCs w:val="24"/>
                <w:highlight w:val="none"/>
              </w:rPr>
              <w:t>分值</w:t>
            </w:r>
          </w:p>
        </w:tc>
        <w:tc>
          <w:tcPr>
            <w:tcW w:w="1988" w:type="pct"/>
            <w:tcBorders>
              <w:tl2br w:val="nil"/>
              <w:tr2bl w:val="nil"/>
            </w:tcBorders>
            <w:vAlign w:val="center"/>
          </w:tcPr>
          <w:p w14:paraId="5A211E8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仿宋_GB2312" w:cs="宋体"/>
                <w:b/>
                <w:bCs w:val="0"/>
                <w:sz w:val="24"/>
                <w:szCs w:val="24"/>
                <w:highlight w:val="none"/>
              </w:rPr>
            </w:pPr>
            <w:r>
              <w:rPr>
                <w:rFonts w:hint="eastAsia" w:ascii="Times New Roman" w:hAnsi="Times New Roman" w:eastAsia="仿宋_GB2312" w:cs="宋体"/>
                <w:b/>
                <w:bCs w:val="0"/>
                <w:sz w:val="24"/>
                <w:szCs w:val="24"/>
                <w:highlight w:val="none"/>
              </w:rPr>
              <w:t>备注</w:t>
            </w:r>
          </w:p>
        </w:tc>
      </w:tr>
      <w:tr w14:paraId="53D99E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395" w:type="pct"/>
            <w:tcBorders>
              <w:tl2br w:val="nil"/>
              <w:tr2bl w:val="nil"/>
            </w:tcBorders>
            <w:vAlign w:val="center"/>
          </w:tcPr>
          <w:p w14:paraId="6850801A">
            <w:pPr>
              <w:keepNext w:val="0"/>
              <w:keepLines w:val="0"/>
              <w:pageBreakBefore w:val="0"/>
              <w:kinsoku/>
              <w:wordWrap/>
              <w:overflowPunct/>
              <w:topLinePunct w:val="0"/>
              <w:autoSpaceDE/>
              <w:autoSpaceDN/>
              <w:bidi w:val="0"/>
              <w:spacing w:line="280" w:lineRule="exact"/>
              <w:jc w:val="center"/>
              <w:textAlignment w:val="auto"/>
              <w:rPr>
                <w:rFonts w:hint="eastAsia" w:ascii="Times New Roman" w:hAnsi="Times New Roman" w:eastAsia="仿宋_GB2312" w:cs="宋体"/>
                <w:b w:val="0"/>
                <w:bCs/>
                <w:sz w:val="24"/>
                <w:szCs w:val="24"/>
                <w:highlight w:val="none"/>
              </w:rPr>
            </w:pPr>
            <w:r>
              <w:rPr>
                <w:rFonts w:hint="eastAsia" w:ascii="Times New Roman" w:hAnsi="Times New Roman" w:eastAsia="仿宋_GB2312" w:cs="宋体"/>
                <w:b w:val="0"/>
                <w:bCs/>
                <w:sz w:val="24"/>
                <w:szCs w:val="24"/>
                <w:highlight w:val="none"/>
              </w:rPr>
              <w:t>1</w:t>
            </w:r>
          </w:p>
        </w:tc>
        <w:tc>
          <w:tcPr>
            <w:tcW w:w="819" w:type="pct"/>
            <w:tcBorders>
              <w:tl2br w:val="nil"/>
              <w:tr2bl w:val="nil"/>
            </w:tcBorders>
            <w:vAlign w:val="center"/>
          </w:tcPr>
          <w:p w14:paraId="6C299200">
            <w:pPr>
              <w:keepNext w:val="0"/>
              <w:keepLines w:val="0"/>
              <w:pageBreakBefore w:val="0"/>
              <w:kinsoku/>
              <w:wordWrap/>
              <w:overflowPunct/>
              <w:topLinePunct w:val="0"/>
              <w:autoSpaceDE/>
              <w:autoSpaceDN/>
              <w:bidi w:val="0"/>
              <w:spacing w:line="280" w:lineRule="exact"/>
              <w:jc w:val="center"/>
              <w:textAlignment w:val="auto"/>
              <w:rPr>
                <w:rFonts w:hint="eastAsia" w:ascii="Times New Roman" w:hAnsi="Times New Roman" w:eastAsia="仿宋_GB2312" w:cs="宋体"/>
                <w:b w:val="0"/>
                <w:bCs/>
                <w:sz w:val="24"/>
                <w:szCs w:val="24"/>
                <w:highlight w:val="none"/>
              </w:rPr>
            </w:pPr>
            <w:r>
              <w:rPr>
                <w:rFonts w:hint="eastAsia" w:ascii="Times New Roman" w:hAnsi="Times New Roman" w:eastAsia="仿宋_GB2312" w:cs="宋体"/>
                <w:b w:val="0"/>
                <w:bCs/>
                <w:sz w:val="24"/>
                <w:szCs w:val="24"/>
                <w:highlight w:val="none"/>
              </w:rPr>
              <w:t>项目总报价</w:t>
            </w:r>
          </w:p>
        </w:tc>
        <w:tc>
          <w:tcPr>
            <w:tcW w:w="1324" w:type="pct"/>
            <w:tcBorders>
              <w:tl2br w:val="nil"/>
              <w:tr2bl w:val="nil"/>
            </w:tcBorders>
            <w:vAlign w:val="center"/>
          </w:tcPr>
          <w:p w14:paraId="5EDE768B">
            <w:pPr>
              <w:keepNext w:val="0"/>
              <w:keepLines w:val="0"/>
              <w:pageBreakBefore w:val="0"/>
              <w:kinsoku/>
              <w:wordWrap/>
              <w:overflowPunct/>
              <w:topLinePunct w:val="0"/>
              <w:autoSpaceDE/>
              <w:autoSpaceDN/>
              <w:bidi w:val="0"/>
              <w:spacing w:line="280" w:lineRule="exact"/>
              <w:jc w:val="left"/>
              <w:textAlignment w:val="auto"/>
              <w:rPr>
                <w:rFonts w:hint="eastAsia" w:ascii="Times New Roman" w:hAnsi="Times New Roman" w:eastAsia="仿宋_GB2312" w:cs="宋体"/>
                <w:b w:val="0"/>
                <w:bCs/>
                <w:sz w:val="24"/>
                <w:szCs w:val="24"/>
                <w:highlight w:val="none"/>
              </w:rPr>
            </w:pPr>
            <w:r>
              <w:rPr>
                <w:rFonts w:hint="eastAsia" w:ascii="Times New Roman" w:hAnsi="Times New Roman" w:eastAsia="仿宋_GB2312" w:cs="宋体"/>
                <w:b w:val="0"/>
                <w:bCs/>
                <w:sz w:val="24"/>
                <w:szCs w:val="24"/>
                <w:highlight w:val="none"/>
              </w:rPr>
              <w:t>在商务技术满足基准要求的前提下，项目总报价最低的投标人得满分，第二名得分</w:t>
            </w:r>
            <w:r>
              <w:rPr>
                <w:rFonts w:hint="eastAsia" w:ascii="Times New Roman" w:hAnsi="Times New Roman" w:eastAsia="仿宋_GB2312" w:cs="宋体"/>
                <w:b w:val="0"/>
                <w:bCs/>
                <w:sz w:val="24"/>
                <w:szCs w:val="24"/>
                <w:highlight w:val="none"/>
                <w:lang w:val="en-US" w:eastAsia="zh-CN"/>
              </w:rPr>
              <w:t>90</w:t>
            </w:r>
            <w:r>
              <w:rPr>
                <w:rFonts w:hint="eastAsia" w:ascii="Times New Roman" w:hAnsi="Times New Roman" w:eastAsia="仿宋_GB2312" w:cs="宋体"/>
                <w:b w:val="0"/>
                <w:bCs/>
                <w:sz w:val="24"/>
                <w:szCs w:val="24"/>
                <w:highlight w:val="none"/>
              </w:rPr>
              <w:t>分，第三名得分</w:t>
            </w:r>
            <w:r>
              <w:rPr>
                <w:rFonts w:hint="eastAsia" w:ascii="Times New Roman" w:hAnsi="Times New Roman" w:eastAsia="仿宋_GB2312" w:cs="宋体"/>
                <w:b w:val="0"/>
                <w:bCs/>
                <w:sz w:val="24"/>
                <w:szCs w:val="24"/>
                <w:highlight w:val="none"/>
                <w:lang w:val="en-US" w:eastAsia="zh-CN"/>
              </w:rPr>
              <w:t>80</w:t>
            </w:r>
            <w:r>
              <w:rPr>
                <w:rFonts w:hint="eastAsia" w:ascii="Times New Roman" w:hAnsi="Times New Roman" w:eastAsia="仿宋_GB2312" w:cs="宋体"/>
                <w:b w:val="0"/>
                <w:bCs/>
                <w:sz w:val="24"/>
                <w:szCs w:val="24"/>
                <w:highlight w:val="none"/>
              </w:rPr>
              <w:t>分，以此类推。</w:t>
            </w:r>
          </w:p>
        </w:tc>
        <w:tc>
          <w:tcPr>
            <w:tcW w:w="472" w:type="pct"/>
            <w:tcBorders>
              <w:tl2br w:val="nil"/>
              <w:tr2bl w:val="nil"/>
            </w:tcBorders>
            <w:vAlign w:val="center"/>
          </w:tcPr>
          <w:p w14:paraId="639386DC">
            <w:pPr>
              <w:keepNext w:val="0"/>
              <w:keepLines w:val="0"/>
              <w:pageBreakBefore w:val="0"/>
              <w:kinsoku/>
              <w:wordWrap/>
              <w:overflowPunct/>
              <w:topLinePunct w:val="0"/>
              <w:autoSpaceDE/>
              <w:autoSpaceDN/>
              <w:bidi w:val="0"/>
              <w:spacing w:line="280" w:lineRule="exact"/>
              <w:jc w:val="center"/>
              <w:textAlignment w:val="auto"/>
              <w:rPr>
                <w:rFonts w:hint="eastAsia" w:ascii="Times New Roman" w:hAnsi="Times New Roman" w:eastAsia="仿宋_GB2312" w:cs="宋体"/>
                <w:b w:val="0"/>
                <w:bCs/>
                <w:sz w:val="24"/>
                <w:szCs w:val="24"/>
                <w:highlight w:val="none"/>
              </w:rPr>
            </w:pPr>
            <w:r>
              <w:rPr>
                <w:rFonts w:hint="eastAsia" w:ascii="Times New Roman" w:hAnsi="Times New Roman" w:eastAsia="仿宋_GB2312" w:cs="宋体"/>
                <w:b w:val="0"/>
                <w:bCs/>
                <w:sz w:val="24"/>
                <w:szCs w:val="24"/>
                <w:highlight w:val="none"/>
              </w:rPr>
              <w:t>100分</w:t>
            </w:r>
          </w:p>
        </w:tc>
        <w:tc>
          <w:tcPr>
            <w:tcW w:w="1988" w:type="pct"/>
            <w:tcBorders>
              <w:tl2br w:val="nil"/>
              <w:tr2bl w:val="nil"/>
            </w:tcBorders>
            <w:vAlign w:val="center"/>
          </w:tcPr>
          <w:p w14:paraId="4B5325BD">
            <w:pPr>
              <w:keepNext w:val="0"/>
              <w:keepLines w:val="0"/>
              <w:pageBreakBefore w:val="0"/>
              <w:kinsoku/>
              <w:wordWrap/>
              <w:overflowPunct/>
              <w:topLinePunct w:val="0"/>
              <w:autoSpaceDE/>
              <w:autoSpaceDN/>
              <w:bidi w:val="0"/>
              <w:spacing w:line="280" w:lineRule="exact"/>
              <w:jc w:val="center"/>
              <w:textAlignment w:val="auto"/>
              <w:rPr>
                <w:rFonts w:hint="eastAsia" w:ascii="Times New Roman" w:hAnsi="Times New Roman" w:eastAsia="仿宋_GB2312" w:cs="宋体"/>
                <w:b w:val="0"/>
                <w:bCs/>
                <w:sz w:val="24"/>
                <w:szCs w:val="24"/>
                <w:highlight w:val="none"/>
              </w:rPr>
            </w:pPr>
          </w:p>
        </w:tc>
      </w:tr>
      <w:tr w14:paraId="11856D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39" w:type="pct"/>
            <w:gridSpan w:val="3"/>
            <w:tcBorders>
              <w:tl2br w:val="nil"/>
              <w:tr2bl w:val="nil"/>
            </w:tcBorders>
            <w:vAlign w:val="center"/>
          </w:tcPr>
          <w:p w14:paraId="1F9A94ED">
            <w:pPr>
              <w:keepNext w:val="0"/>
              <w:keepLines w:val="0"/>
              <w:pageBreakBefore w:val="0"/>
              <w:widowControl/>
              <w:kinsoku/>
              <w:wordWrap/>
              <w:overflowPunct/>
              <w:topLinePunct w:val="0"/>
              <w:autoSpaceDE/>
              <w:autoSpaceDN/>
              <w:bidi w:val="0"/>
              <w:spacing w:line="280" w:lineRule="exact"/>
              <w:jc w:val="center"/>
              <w:textAlignment w:val="auto"/>
              <w:rPr>
                <w:rFonts w:hint="eastAsia" w:ascii="Times New Roman" w:hAnsi="Times New Roman" w:eastAsia="仿宋_GB2312" w:cs="宋体"/>
                <w:b w:val="0"/>
                <w:bCs/>
                <w:kern w:val="0"/>
                <w:sz w:val="24"/>
                <w:szCs w:val="24"/>
                <w:highlight w:val="none"/>
              </w:rPr>
            </w:pPr>
            <w:r>
              <w:rPr>
                <w:rFonts w:hint="eastAsia" w:ascii="Times New Roman" w:hAnsi="Times New Roman" w:eastAsia="仿宋_GB2312" w:cs="宋体"/>
                <w:b w:val="0"/>
                <w:bCs/>
                <w:kern w:val="0"/>
                <w:sz w:val="24"/>
                <w:szCs w:val="24"/>
                <w:highlight w:val="none"/>
              </w:rPr>
              <w:t>合计</w:t>
            </w:r>
          </w:p>
        </w:tc>
        <w:tc>
          <w:tcPr>
            <w:tcW w:w="472" w:type="pct"/>
            <w:tcBorders>
              <w:tl2br w:val="nil"/>
              <w:tr2bl w:val="nil"/>
            </w:tcBorders>
            <w:vAlign w:val="center"/>
          </w:tcPr>
          <w:p w14:paraId="1B675C20">
            <w:pPr>
              <w:keepNext w:val="0"/>
              <w:keepLines w:val="0"/>
              <w:pageBreakBefore w:val="0"/>
              <w:widowControl/>
              <w:kinsoku/>
              <w:wordWrap/>
              <w:overflowPunct/>
              <w:topLinePunct w:val="0"/>
              <w:autoSpaceDE/>
              <w:autoSpaceDN/>
              <w:bidi w:val="0"/>
              <w:spacing w:line="280" w:lineRule="exact"/>
              <w:jc w:val="center"/>
              <w:textAlignment w:val="auto"/>
              <w:rPr>
                <w:rFonts w:hint="eastAsia" w:ascii="Times New Roman" w:hAnsi="Times New Roman" w:eastAsia="仿宋_GB2312" w:cs="宋体"/>
                <w:b w:val="0"/>
                <w:bCs/>
                <w:kern w:val="0"/>
                <w:sz w:val="24"/>
                <w:szCs w:val="24"/>
                <w:highlight w:val="none"/>
              </w:rPr>
            </w:pPr>
            <w:r>
              <w:rPr>
                <w:rFonts w:hint="eastAsia" w:ascii="Times New Roman" w:hAnsi="Times New Roman" w:eastAsia="仿宋_GB2312" w:cs="宋体"/>
                <w:b w:val="0"/>
                <w:bCs/>
                <w:kern w:val="0"/>
                <w:sz w:val="24"/>
                <w:szCs w:val="24"/>
                <w:highlight w:val="none"/>
              </w:rPr>
              <w:t>100分</w:t>
            </w:r>
          </w:p>
        </w:tc>
        <w:tc>
          <w:tcPr>
            <w:tcW w:w="1988" w:type="pct"/>
            <w:tcBorders>
              <w:tl2br w:val="nil"/>
              <w:tr2bl w:val="nil"/>
            </w:tcBorders>
            <w:vAlign w:val="center"/>
          </w:tcPr>
          <w:p w14:paraId="680023C1">
            <w:pPr>
              <w:keepNext w:val="0"/>
              <w:keepLines w:val="0"/>
              <w:pageBreakBefore w:val="0"/>
              <w:widowControl/>
              <w:kinsoku/>
              <w:wordWrap/>
              <w:overflowPunct/>
              <w:topLinePunct w:val="0"/>
              <w:autoSpaceDE/>
              <w:autoSpaceDN/>
              <w:bidi w:val="0"/>
              <w:spacing w:line="280" w:lineRule="exact"/>
              <w:jc w:val="center"/>
              <w:textAlignment w:val="auto"/>
              <w:rPr>
                <w:rFonts w:hint="eastAsia" w:ascii="Times New Roman" w:hAnsi="Times New Roman" w:eastAsia="仿宋_GB2312" w:cs="宋体"/>
                <w:b w:val="0"/>
                <w:bCs/>
                <w:kern w:val="0"/>
                <w:sz w:val="24"/>
                <w:szCs w:val="24"/>
                <w:highlight w:val="none"/>
              </w:rPr>
            </w:pPr>
          </w:p>
        </w:tc>
      </w:tr>
    </w:tbl>
    <w:p w14:paraId="65356D4C">
      <w:pPr>
        <w:pageBreakBefore w:val="0"/>
        <w:widowControl/>
        <w:kinsoku/>
        <w:overflowPunct/>
        <w:topLinePunct w:val="0"/>
        <w:autoSpaceDE/>
        <w:autoSpaceDN/>
        <w:bidi w:val="0"/>
        <w:adjustRightInd w:val="0"/>
        <w:snapToGrid w:val="0"/>
        <w:spacing w:line="560" w:lineRule="exact"/>
        <w:jc w:val="center"/>
        <w:rPr>
          <w:rFonts w:hint="eastAsia" w:ascii="方正小标宋简体" w:hAnsi="方正小标宋简体" w:eastAsia="方正小标宋简体" w:cs="方正小标宋简体"/>
          <w:b w:val="0"/>
          <w:bCs/>
          <w:sz w:val="36"/>
          <w:szCs w:val="36"/>
          <w:highlight w:val="none"/>
        </w:rPr>
      </w:pPr>
      <w:r>
        <w:rPr>
          <w:rFonts w:hint="eastAsia" w:ascii="方正小标宋简体" w:hAnsi="方正小标宋简体" w:eastAsia="方正小标宋简体" w:cs="方正小标宋简体"/>
          <w:b w:val="0"/>
          <w:bCs/>
          <w:sz w:val="36"/>
          <w:szCs w:val="36"/>
          <w:highlight w:val="none"/>
        </w:rPr>
        <w:t>价格标评分方法</w:t>
      </w:r>
    </w:p>
    <w:p w14:paraId="362DB587">
      <w:pPr>
        <w:pageBreakBefore w:val="0"/>
        <w:widowControl/>
        <w:kinsoku/>
        <w:overflowPunct/>
        <w:topLinePunct w:val="0"/>
        <w:autoSpaceDE/>
        <w:autoSpaceDN/>
        <w:bidi w:val="0"/>
        <w:adjustRightInd w:val="0"/>
        <w:snapToGrid w:val="0"/>
        <w:spacing w:line="560" w:lineRule="exact"/>
        <w:jc w:val="center"/>
        <w:rPr>
          <w:rFonts w:hint="eastAsia" w:ascii="仿宋" w:hAnsi="仿宋" w:eastAsia="仿宋" w:cs="仿宋"/>
          <w:b w:val="0"/>
          <w:bCs/>
          <w:sz w:val="32"/>
          <w:szCs w:val="32"/>
          <w:highlight w:val="none"/>
        </w:rPr>
      </w:pPr>
    </w:p>
    <w:p w14:paraId="3E633674">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说明：</w:t>
      </w:r>
    </w:p>
    <w:p w14:paraId="064E105D">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val="en-US" w:eastAsia="zh-CN"/>
        </w:rPr>
        <w:t>1.</w:t>
      </w:r>
      <w:r>
        <w:rPr>
          <w:rFonts w:hint="eastAsia" w:ascii="仿宋_GB2312" w:hAnsi="仿宋_GB2312" w:eastAsia="仿宋_GB2312" w:cs="仿宋_GB2312"/>
          <w:b w:val="0"/>
          <w:bCs/>
          <w:sz w:val="24"/>
          <w:szCs w:val="24"/>
          <w:highlight w:val="none"/>
        </w:rPr>
        <w:t>评标价格的计算：</w:t>
      </w:r>
    </w:p>
    <w:p w14:paraId="3ACFB3C1">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投标文件存在投标报价问题的，进行投标报价的算术修正，投标报价算术修正具体原则为：</w:t>
      </w:r>
    </w:p>
    <w:p w14:paraId="06513CE7">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eastAsia="zh-CN"/>
        </w:rPr>
        <w:t>（</w:t>
      </w:r>
      <w:r>
        <w:rPr>
          <w:rFonts w:hint="eastAsia" w:ascii="仿宋_GB2312" w:hAnsi="仿宋_GB2312" w:eastAsia="仿宋_GB2312" w:cs="仿宋_GB2312"/>
          <w:b w:val="0"/>
          <w:bCs/>
          <w:sz w:val="24"/>
          <w:szCs w:val="24"/>
          <w:highlight w:val="none"/>
        </w:rPr>
        <w:t>1）若投标报价一览表中投标价与投标文件中投标价格不一致，以投标报价一览表为准；</w:t>
      </w:r>
    </w:p>
    <w:p w14:paraId="7585EA81">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eastAsia="zh-CN"/>
        </w:rPr>
        <w:t>（</w:t>
      </w:r>
      <w:r>
        <w:rPr>
          <w:rFonts w:hint="eastAsia" w:ascii="仿宋_GB2312" w:hAnsi="仿宋_GB2312" w:eastAsia="仿宋_GB2312" w:cs="仿宋_GB2312"/>
          <w:b w:val="0"/>
          <w:bCs/>
          <w:sz w:val="24"/>
          <w:szCs w:val="24"/>
          <w:highlight w:val="none"/>
        </w:rPr>
        <w:t>2）当小写金额与大写金额有差异时，以大写金额为准（有明显错误的除外）；</w:t>
      </w:r>
    </w:p>
    <w:p w14:paraId="568C9B86">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eastAsia="zh-CN"/>
        </w:rPr>
        <w:t>（</w:t>
      </w:r>
      <w:r>
        <w:rPr>
          <w:rFonts w:hint="eastAsia" w:ascii="仿宋_GB2312" w:hAnsi="仿宋_GB2312" w:eastAsia="仿宋_GB2312" w:cs="仿宋_GB2312"/>
          <w:b w:val="0"/>
          <w:bCs/>
          <w:sz w:val="24"/>
          <w:szCs w:val="24"/>
          <w:highlight w:val="none"/>
        </w:rPr>
        <w:t>3）单价金额小数点有明显错位的，应以总价为准，并修改单价；</w:t>
      </w:r>
    </w:p>
    <w:p w14:paraId="74A2895D">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eastAsia="zh-CN"/>
        </w:rPr>
        <w:t>（</w:t>
      </w:r>
      <w:r>
        <w:rPr>
          <w:rFonts w:hint="eastAsia" w:ascii="仿宋_GB2312" w:hAnsi="仿宋_GB2312" w:eastAsia="仿宋_GB2312" w:cs="仿宋_GB2312"/>
          <w:b w:val="0"/>
          <w:bCs/>
          <w:sz w:val="24"/>
          <w:szCs w:val="24"/>
          <w:highlight w:val="none"/>
        </w:rPr>
        <w:t>4）投标报价为各分项报价金额之和，总价金额与依据单价计算出的结果不一致的，以单价合同金额以经修正后的投标报价为准，缺漏项部分由投标人自行承担。</w:t>
      </w:r>
    </w:p>
    <w:p w14:paraId="4A0D06EF">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val="en-US" w:eastAsia="zh-CN"/>
        </w:rPr>
        <w:t>2.</w:t>
      </w:r>
      <w:r>
        <w:rPr>
          <w:rFonts w:hint="eastAsia" w:ascii="仿宋_GB2312" w:hAnsi="仿宋_GB2312" w:eastAsia="仿宋_GB2312" w:cs="仿宋_GB2312"/>
          <w:b w:val="0"/>
          <w:bCs/>
          <w:sz w:val="24"/>
          <w:szCs w:val="24"/>
          <w:highlight w:val="none"/>
        </w:rPr>
        <w:t>价格标评分的计算：</w:t>
      </w:r>
    </w:p>
    <w:p w14:paraId="2B9AA991">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val="en-US" w:eastAsia="zh-CN"/>
        </w:rPr>
        <w:t>（1）</w:t>
      </w:r>
      <w:r>
        <w:rPr>
          <w:rFonts w:hint="eastAsia" w:ascii="仿宋_GB2312" w:hAnsi="仿宋_GB2312" w:eastAsia="仿宋_GB2312" w:cs="仿宋_GB2312"/>
          <w:b w:val="0"/>
          <w:bCs/>
          <w:sz w:val="24"/>
          <w:szCs w:val="24"/>
          <w:highlight w:val="none"/>
        </w:rPr>
        <w:t>评标专家组按附表</w:t>
      </w:r>
      <w:r>
        <w:rPr>
          <w:rFonts w:hint="default" w:ascii="Times New Roman" w:hAnsi="Times New Roman" w:eastAsia="仿宋_GB2312" w:cs="Times New Roman"/>
          <w:b w:val="0"/>
          <w:bCs/>
          <w:sz w:val="24"/>
          <w:szCs w:val="24"/>
          <w:highlight w:val="none"/>
        </w:rPr>
        <w:t>2-1《</w:t>
      </w:r>
      <w:r>
        <w:rPr>
          <w:rFonts w:hint="eastAsia" w:ascii="仿宋_GB2312" w:hAnsi="仿宋_GB2312" w:eastAsia="仿宋_GB2312" w:cs="仿宋_GB2312"/>
          <w:b w:val="0"/>
          <w:bCs/>
          <w:sz w:val="24"/>
          <w:szCs w:val="24"/>
          <w:highlight w:val="none"/>
        </w:rPr>
        <w:t>价格标评分方法》进行评分。</w:t>
      </w:r>
    </w:p>
    <w:p w14:paraId="11218134">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val="en-US" w:eastAsia="zh-CN"/>
        </w:rPr>
        <w:t>（2）</w:t>
      </w:r>
      <w:r>
        <w:rPr>
          <w:rFonts w:hint="eastAsia" w:ascii="仿宋_GB2312" w:hAnsi="仿宋_GB2312" w:eastAsia="仿宋_GB2312" w:cs="仿宋_GB2312"/>
          <w:b w:val="0"/>
          <w:bCs/>
          <w:sz w:val="24"/>
          <w:szCs w:val="24"/>
          <w:highlight w:val="none"/>
        </w:rPr>
        <w:t>经以上算法得出的数值即为投标人的价格得分（计算过程及计算结果四舍五入保留小数点后两位）。</w:t>
      </w:r>
    </w:p>
    <w:p w14:paraId="39E8026C">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_GB2312" w:hAnsi="仿宋_GB2312" w:eastAsia="仿宋_GB2312" w:cs="仿宋_GB2312"/>
          <w:b w:val="0"/>
          <w:bCs/>
          <w:sz w:val="24"/>
          <w:szCs w:val="24"/>
          <w:highlight w:val="none"/>
          <w:shd w:val="clear" w:color="auto" w:fill="FFFF00"/>
        </w:rPr>
      </w:pPr>
      <w:r>
        <w:rPr>
          <w:rFonts w:hint="eastAsia" w:ascii="仿宋_GB2312" w:hAnsi="仿宋_GB2312" w:eastAsia="仿宋_GB2312" w:cs="仿宋_GB2312"/>
          <w:b w:val="0"/>
          <w:bCs/>
          <w:sz w:val="24"/>
          <w:szCs w:val="24"/>
          <w:highlight w:val="none"/>
          <w:lang w:val="en-US" w:eastAsia="zh-CN"/>
        </w:rPr>
        <w:t>（3）</w:t>
      </w:r>
      <w:r>
        <w:rPr>
          <w:rFonts w:hint="eastAsia" w:ascii="仿宋_GB2312" w:hAnsi="仿宋_GB2312" w:eastAsia="仿宋_GB2312" w:cs="仿宋_GB2312"/>
          <w:b w:val="0"/>
          <w:bCs/>
          <w:sz w:val="24"/>
          <w:szCs w:val="24"/>
          <w:highlight w:val="none"/>
        </w:rPr>
        <w:t>价格得分为负数时，</w:t>
      </w:r>
      <w:r>
        <w:rPr>
          <w:rFonts w:hint="default" w:ascii="Times New Roman" w:hAnsi="Times New Roman" w:eastAsia="仿宋_GB2312" w:cs="Times New Roman"/>
          <w:b w:val="0"/>
          <w:bCs/>
          <w:sz w:val="24"/>
          <w:szCs w:val="24"/>
          <w:highlight w:val="none"/>
        </w:rPr>
        <w:t>计为0分。</w:t>
      </w:r>
    </w:p>
    <w:p w14:paraId="24B53DD5">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color w:val="FF0000"/>
          <w:sz w:val="32"/>
          <w:szCs w:val="32"/>
          <w:highlight w:val="none"/>
        </w:rPr>
      </w:pPr>
    </w:p>
    <w:p w14:paraId="0ACF24F4">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14:paraId="6FD9253B">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14:paraId="0BEA5A8E">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14:paraId="3EF40E5D">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14:paraId="4A7826DE">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br w:type="page"/>
      </w:r>
    </w:p>
    <w:p w14:paraId="050152F3">
      <w:pPr>
        <w:keepNext/>
        <w:keepLines/>
        <w:pageBreakBefore w:val="0"/>
        <w:widowControl/>
        <w:numPr>
          <w:ilvl w:val="3"/>
          <w:numId w:val="0"/>
        </w:numPr>
        <w:kinsoku/>
        <w:overflowPunct/>
        <w:topLinePunct w:val="0"/>
        <w:autoSpaceDE/>
        <w:autoSpaceDN/>
        <w:bidi w:val="0"/>
        <w:adjustRightInd w:val="0"/>
        <w:snapToGrid w:val="0"/>
        <w:spacing w:line="560" w:lineRule="exact"/>
        <w:outlineLvl w:val="3"/>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附表3-1 《商务技术标、价格标权重表》</w:t>
      </w:r>
    </w:p>
    <w:p w14:paraId="521B076D">
      <w:pPr>
        <w:pageBreakBefore w:val="0"/>
        <w:widowControl/>
        <w:kinsoku/>
        <w:overflowPunct/>
        <w:topLinePunct w:val="0"/>
        <w:autoSpaceDE/>
        <w:autoSpaceDN/>
        <w:bidi w:val="0"/>
        <w:adjustRightInd w:val="0"/>
        <w:snapToGrid w:val="0"/>
        <w:spacing w:line="560" w:lineRule="exact"/>
        <w:jc w:val="center"/>
        <w:rPr>
          <w:rFonts w:hint="eastAsia" w:ascii="方正小标宋简体" w:hAnsi="方正小标宋简体" w:eastAsia="方正小标宋简体" w:cs="方正小标宋简体"/>
          <w:b w:val="0"/>
          <w:bCs/>
          <w:sz w:val="32"/>
          <w:szCs w:val="32"/>
          <w:highlight w:val="none"/>
        </w:rPr>
      </w:pPr>
    </w:p>
    <w:p w14:paraId="37BA7C3F">
      <w:pPr>
        <w:pageBreakBefore w:val="0"/>
        <w:widowControl/>
        <w:kinsoku/>
        <w:overflowPunct/>
        <w:topLinePunct w:val="0"/>
        <w:autoSpaceDE/>
        <w:autoSpaceDN/>
        <w:bidi w:val="0"/>
        <w:adjustRightInd w:val="0"/>
        <w:snapToGrid w:val="0"/>
        <w:spacing w:line="560" w:lineRule="exact"/>
        <w:jc w:val="center"/>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商务技术标、价格标权重表</w:t>
      </w:r>
    </w:p>
    <w:tbl>
      <w:tblPr>
        <w:tblStyle w:val="15"/>
        <w:tblW w:w="90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2283"/>
        <w:gridCol w:w="3331"/>
        <w:gridCol w:w="3395"/>
      </w:tblGrid>
      <w:tr w14:paraId="10FE19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82" w:hRule="atLeast"/>
          <w:jc w:val="center"/>
        </w:trPr>
        <w:tc>
          <w:tcPr>
            <w:tcW w:w="2283" w:type="dxa"/>
            <w:tcBorders>
              <w:tl2br w:val="nil"/>
              <w:tr2bl w:val="nil"/>
            </w:tcBorders>
            <w:shd w:val="clear" w:color="auto" w:fill="FFFFFF" w:themeFill="background1"/>
            <w:vAlign w:val="center"/>
          </w:tcPr>
          <w:p w14:paraId="3E3852B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宋体" w:cstheme="minorEastAsia"/>
                <w:b/>
                <w:bCs w:val="0"/>
                <w:sz w:val="28"/>
                <w:szCs w:val="28"/>
                <w:highlight w:val="none"/>
              </w:rPr>
            </w:pPr>
            <w:r>
              <w:rPr>
                <w:rFonts w:hint="eastAsia" w:ascii="Times New Roman" w:hAnsi="Times New Roman" w:eastAsia="宋体" w:cstheme="minorEastAsia"/>
                <w:b/>
                <w:bCs w:val="0"/>
                <w:sz w:val="28"/>
                <w:szCs w:val="28"/>
                <w:highlight w:val="none"/>
              </w:rPr>
              <w:t>权重名称</w:t>
            </w:r>
          </w:p>
        </w:tc>
        <w:tc>
          <w:tcPr>
            <w:tcW w:w="3331" w:type="dxa"/>
            <w:tcBorders>
              <w:tl2br w:val="nil"/>
              <w:tr2bl w:val="nil"/>
            </w:tcBorders>
            <w:shd w:val="clear" w:color="auto" w:fill="FFFFFF" w:themeFill="background1"/>
            <w:vAlign w:val="center"/>
          </w:tcPr>
          <w:p w14:paraId="34E577C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宋体" w:cstheme="minorEastAsia"/>
                <w:b/>
                <w:bCs w:val="0"/>
                <w:sz w:val="28"/>
                <w:szCs w:val="28"/>
                <w:highlight w:val="none"/>
              </w:rPr>
            </w:pPr>
            <w:r>
              <w:rPr>
                <w:rFonts w:hint="eastAsia" w:ascii="Times New Roman" w:hAnsi="Times New Roman" w:eastAsia="宋体" w:cstheme="minorEastAsia"/>
                <w:b/>
                <w:bCs w:val="0"/>
                <w:sz w:val="28"/>
                <w:szCs w:val="28"/>
                <w:highlight w:val="none"/>
              </w:rPr>
              <w:t>商务技术权重</w:t>
            </w:r>
          </w:p>
        </w:tc>
        <w:tc>
          <w:tcPr>
            <w:tcW w:w="3395" w:type="dxa"/>
            <w:tcBorders>
              <w:tl2br w:val="nil"/>
              <w:tr2bl w:val="nil"/>
            </w:tcBorders>
            <w:shd w:val="clear" w:color="auto" w:fill="FFFFFF" w:themeFill="background1"/>
            <w:vAlign w:val="center"/>
          </w:tcPr>
          <w:p w14:paraId="043D718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宋体" w:cstheme="minorEastAsia"/>
                <w:b/>
                <w:bCs w:val="0"/>
                <w:sz w:val="28"/>
                <w:szCs w:val="28"/>
                <w:highlight w:val="none"/>
              </w:rPr>
            </w:pPr>
            <w:r>
              <w:rPr>
                <w:rFonts w:hint="eastAsia" w:ascii="Times New Roman" w:hAnsi="Times New Roman" w:eastAsia="宋体" w:cstheme="minorEastAsia"/>
                <w:b/>
                <w:bCs w:val="0"/>
                <w:sz w:val="28"/>
                <w:szCs w:val="28"/>
                <w:highlight w:val="none"/>
              </w:rPr>
              <w:t>价格权重</w:t>
            </w:r>
          </w:p>
        </w:tc>
      </w:tr>
      <w:tr w14:paraId="7EA315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283" w:type="dxa"/>
            <w:tcBorders>
              <w:tl2br w:val="nil"/>
              <w:tr2bl w:val="nil"/>
            </w:tcBorders>
            <w:shd w:val="clear" w:color="auto" w:fill="FFFFFF" w:themeFill="background1"/>
            <w:vAlign w:val="center"/>
          </w:tcPr>
          <w:p w14:paraId="062A6B0E">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宋体" w:cstheme="minorEastAsia"/>
                <w:b w:val="0"/>
                <w:bCs/>
                <w:sz w:val="28"/>
                <w:szCs w:val="28"/>
                <w:highlight w:val="none"/>
              </w:rPr>
            </w:pPr>
            <w:r>
              <w:rPr>
                <w:rFonts w:hint="eastAsia" w:ascii="Times New Roman" w:hAnsi="Times New Roman" w:eastAsia="宋体" w:cstheme="minorEastAsia"/>
                <w:b w:val="0"/>
                <w:bCs/>
                <w:sz w:val="28"/>
                <w:szCs w:val="28"/>
                <w:highlight w:val="none"/>
              </w:rPr>
              <w:t>权重</w:t>
            </w:r>
          </w:p>
        </w:tc>
        <w:tc>
          <w:tcPr>
            <w:tcW w:w="3331" w:type="dxa"/>
            <w:tcBorders>
              <w:tl2br w:val="nil"/>
              <w:tr2bl w:val="nil"/>
            </w:tcBorders>
            <w:shd w:val="clear" w:color="auto" w:fill="FFFFFF" w:themeFill="background1"/>
            <w:vAlign w:val="center"/>
          </w:tcPr>
          <w:p w14:paraId="7CCCA0C7">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宋体" w:cstheme="minorEastAsia"/>
                <w:b w:val="0"/>
                <w:bCs/>
                <w:sz w:val="28"/>
                <w:szCs w:val="28"/>
                <w:highlight w:val="none"/>
              </w:rPr>
            </w:pPr>
            <w:r>
              <w:rPr>
                <w:rFonts w:hint="eastAsia" w:ascii="Times New Roman" w:hAnsi="Times New Roman" w:eastAsia="宋体" w:cstheme="minorEastAsia"/>
                <w:b w:val="0"/>
                <w:bCs/>
                <w:sz w:val="28"/>
                <w:szCs w:val="28"/>
                <w:highlight w:val="none"/>
                <w:lang w:val="en-US" w:eastAsia="zh-CN"/>
              </w:rPr>
              <w:t>60</w:t>
            </w:r>
            <w:r>
              <w:rPr>
                <w:rFonts w:hint="eastAsia" w:ascii="Times New Roman" w:hAnsi="Times New Roman" w:eastAsia="宋体" w:cstheme="minorEastAsia"/>
                <w:b w:val="0"/>
                <w:bCs/>
                <w:sz w:val="28"/>
                <w:szCs w:val="28"/>
                <w:highlight w:val="none"/>
              </w:rPr>
              <w:t>%</w:t>
            </w:r>
          </w:p>
        </w:tc>
        <w:tc>
          <w:tcPr>
            <w:tcW w:w="3395" w:type="dxa"/>
            <w:tcBorders>
              <w:tl2br w:val="nil"/>
              <w:tr2bl w:val="nil"/>
            </w:tcBorders>
            <w:shd w:val="clear" w:color="auto" w:fill="FFFFFF" w:themeFill="background1"/>
            <w:vAlign w:val="center"/>
          </w:tcPr>
          <w:p w14:paraId="05C4DD3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宋体" w:cstheme="minorEastAsia"/>
                <w:b w:val="0"/>
                <w:bCs/>
                <w:sz w:val="28"/>
                <w:szCs w:val="28"/>
                <w:highlight w:val="none"/>
              </w:rPr>
            </w:pPr>
            <w:r>
              <w:rPr>
                <w:rFonts w:hint="eastAsia" w:ascii="Times New Roman" w:hAnsi="Times New Roman" w:eastAsia="宋体" w:cstheme="minorEastAsia"/>
                <w:b w:val="0"/>
                <w:bCs/>
                <w:sz w:val="28"/>
                <w:szCs w:val="28"/>
                <w:highlight w:val="none"/>
                <w:lang w:val="en-US" w:eastAsia="zh-CN"/>
              </w:rPr>
              <w:t>40</w:t>
            </w:r>
            <w:r>
              <w:rPr>
                <w:rFonts w:hint="eastAsia" w:ascii="Times New Roman" w:hAnsi="Times New Roman" w:eastAsia="宋体" w:cstheme="minorEastAsia"/>
                <w:b w:val="0"/>
                <w:bCs/>
                <w:sz w:val="28"/>
                <w:szCs w:val="28"/>
                <w:highlight w:val="none"/>
              </w:rPr>
              <w:t>%</w:t>
            </w:r>
          </w:p>
        </w:tc>
      </w:tr>
    </w:tbl>
    <w:p w14:paraId="5C0287CF">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14:paraId="32314A8B">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6BBA9BEC">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56A573EA">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7BC764C9">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7EE06A91">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018FCABB">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50EC0007">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4D65BE91">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15EB513A">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6B3DFADA">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55F9C154">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40965454">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500066C2">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7B39F489">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177A0064">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14:paraId="18DB5137">
      <w:pPr>
        <w:pStyle w:val="3"/>
        <w:pageBreakBefore w:val="0"/>
        <w:kinsoku/>
        <w:overflowPunct/>
        <w:topLinePunct w:val="0"/>
        <w:autoSpaceDE/>
        <w:autoSpaceDN/>
        <w:bidi w:val="0"/>
        <w:spacing w:line="560" w:lineRule="exact"/>
        <w:jc w:val="center"/>
        <w:rPr>
          <w:rFonts w:hint="eastAsia" w:ascii="黑体" w:hAnsi="黑体" w:eastAsia="黑体" w:cs="黑体"/>
          <w:b w:val="0"/>
          <w:bCs/>
          <w:sz w:val="32"/>
          <w:szCs w:val="32"/>
          <w:highlight w:val="none"/>
        </w:rPr>
      </w:pPr>
      <w:bookmarkStart w:id="50" w:name="_Toc220"/>
      <w:bookmarkStart w:id="51" w:name="_Toc22811"/>
      <w:r>
        <w:rPr>
          <w:rFonts w:hint="eastAsia" w:ascii="黑体" w:hAnsi="黑体" w:eastAsia="黑体" w:cs="黑体"/>
          <w:b w:val="0"/>
          <w:bCs/>
          <w:sz w:val="32"/>
          <w:szCs w:val="32"/>
          <w:highlight w:val="none"/>
        </w:rPr>
        <w:t>第三章 合同条款</w:t>
      </w:r>
      <w:bookmarkEnd w:id="50"/>
      <w:bookmarkEnd w:id="51"/>
    </w:p>
    <w:p w14:paraId="24E83255">
      <w:pPr>
        <w:pageBreakBefore w:val="0"/>
        <w:kinsoku/>
        <w:overflowPunct/>
        <w:topLinePunct w:val="0"/>
        <w:autoSpaceDE/>
        <w:autoSpaceDN/>
        <w:bidi w:val="0"/>
        <w:spacing w:line="560" w:lineRule="exact"/>
        <w:jc w:val="center"/>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深圳市鹏劳人力资源管理有限公司</w:t>
      </w:r>
    </w:p>
    <w:p w14:paraId="743630A3">
      <w:pPr>
        <w:pageBreakBefore w:val="0"/>
        <w:kinsoku/>
        <w:overflowPunct/>
        <w:topLinePunct w:val="0"/>
        <w:autoSpaceDE/>
        <w:autoSpaceDN/>
        <w:bidi w:val="0"/>
        <w:spacing w:line="560" w:lineRule="exact"/>
        <w:jc w:val="center"/>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lang w:val="en-US" w:eastAsia="zh-CN"/>
        </w:rPr>
        <w:t>2025</w:t>
      </w:r>
      <w:r>
        <w:rPr>
          <w:rFonts w:hint="eastAsia" w:ascii="方正小标宋简体" w:hAnsi="方正小标宋简体" w:eastAsia="方正小标宋简体" w:cs="方正小标宋简体"/>
          <w:b w:val="0"/>
          <w:bCs/>
          <w:sz w:val="44"/>
          <w:szCs w:val="44"/>
          <w:highlight w:val="none"/>
          <w:lang w:eastAsia="zh-CN"/>
        </w:rPr>
        <w:t>年度员工健康</w:t>
      </w:r>
      <w:r>
        <w:rPr>
          <w:rFonts w:hint="eastAsia" w:ascii="方正小标宋简体" w:hAnsi="方正小标宋简体" w:eastAsia="方正小标宋简体" w:cs="方正小标宋简体"/>
          <w:b w:val="0"/>
          <w:bCs/>
          <w:sz w:val="44"/>
          <w:szCs w:val="44"/>
          <w:highlight w:val="none"/>
        </w:rPr>
        <w:t>体检</w:t>
      </w:r>
      <w:r>
        <w:rPr>
          <w:rFonts w:hint="eastAsia" w:ascii="方正小标宋简体" w:hAnsi="方正小标宋简体" w:eastAsia="方正小标宋简体" w:cs="方正小标宋简体"/>
          <w:b w:val="0"/>
          <w:bCs/>
          <w:sz w:val="44"/>
          <w:szCs w:val="44"/>
          <w:highlight w:val="none"/>
          <w:lang w:val="en-US" w:eastAsia="zh-CN"/>
        </w:rPr>
        <w:t>项目</w:t>
      </w:r>
      <w:r>
        <w:rPr>
          <w:rFonts w:hint="eastAsia" w:ascii="方正小标宋简体" w:hAnsi="方正小标宋简体" w:eastAsia="方正小标宋简体" w:cs="方正小标宋简体"/>
          <w:b w:val="0"/>
          <w:bCs/>
          <w:sz w:val="44"/>
          <w:szCs w:val="44"/>
          <w:highlight w:val="none"/>
        </w:rPr>
        <w:t>合同</w:t>
      </w:r>
    </w:p>
    <w:p w14:paraId="71197B98">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14:paraId="371585E9">
      <w:pPr>
        <w:pageBreakBefore w:val="0"/>
        <w:kinsoku/>
        <w:overflowPunct/>
        <w:topLinePunct w:val="0"/>
        <w:autoSpaceDE/>
        <w:autoSpaceDN/>
        <w:bidi w:val="0"/>
        <w:spacing w:line="560" w:lineRule="exact"/>
        <w:rPr>
          <w:rFonts w:hint="eastAsia" w:ascii="Times New Roman" w:hAnsi="Times New Roman" w:eastAsia="仿宋_GB2312" w:cs="仿宋"/>
          <w:b w:val="0"/>
          <w:bCs/>
          <w:sz w:val="32"/>
          <w:szCs w:val="32"/>
          <w:highlight w:val="none"/>
        </w:rPr>
      </w:pPr>
      <w:bookmarkStart w:id="52" w:name="_Toc27794"/>
      <w:r>
        <w:rPr>
          <w:rFonts w:hint="eastAsia" w:ascii="Times New Roman" w:hAnsi="Times New Roman" w:eastAsia="仿宋_GB2312" w:cs="仿宋"/>
          <w:b w:val="0"/>
          <w:bCs/>
          <w:sz w:val="32"/>
          <w:szCs w:val="32"/>
          <w:highlight w:val="none"/>
        </w:rPr>
        <w:t xml:space="preserve">甲方：深圳市鹏劳人力资源管理有限公司 </w:t>
      </w:r>
    </w:p>
    <w:p w14:paraId="7D729A40">
      <w:pPr>
        <w:pageBreakBefore w:val="0"/>
        <w:kinsoku/>
        <w:overflowPunct/>
        <w:topLinePunct w:val="0"/>
        <w:autoSpaceDE/>
        <w:autoSpaceDN/>
        <w:bidi w:val="0"/>
        <w:spacing w:line="560" w:lineRule="exact"/>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地址：</w:t>
      </w:r>
      <w:r>
        <w:rPr>
          <w:rFonts w:hint="eastAsia" w:ascii="Times New Roman" w:hAnsi="Times New Roman" w:eastAsia="仿宋_GB2312" w:cs="仿宋"/>
          <w:bCs/>
          <w:sz w:val="32"/>
          <w:szCs w:val="32"/>
          <w:highlight w:val="none"/>
        </w:rPr>
        <w:t>深圳市罗湖区笋岗街道田心社区红岭北路2088号招商开元中心A座13层</w:t>
      </w:r>
    </w:p>
    <w:p w14:paraId="3E10FAAF">
      <w:pPr>
        <w:pageBreakBefore w:val="0"/>
        <w:kinsoku/>
        <w:overflowPunct/>
        <w:topLinePunct w:val="0"/>
        <w:autoSpaceDE/>
        <w:autoSpaceDN/>
        <w:bidi w:val="0"/>
        <w:spacing w:line="560" w:lineRule="exact"/>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 xml:space="preserve">联系人及电话： </w:t>
      </w:r>
    </w:p>
    <w:p w14:paraId="2C6EE80E">
      <w:pPr>
        <w:pageBreakBefore w:val="0"/>
        <w:kinsoku/>
        <w:overflowPunct/>
        <w:topLinePunct w:val="0"/>
        <w:autoSpaceDE/>
        <w:autoSpaceDN/>
        <w:bidi w:val="0"/>
        <w:spacing w:line="560" w:lineRule="exact"/>
        <w:rPr>
          <w:rFonts w:hint="eastAsia" w:ascii="Times New Roman" w:hAnsi="Times New Roman" w:eastAsia="仿宋_GB2312" w:cs="仿宋"/>
          <w:b w:val="0"/>
          <w:bCs/>
          <w:sz w:val="32"/>
          <w:szCs w:val="32"/>
          <w:highlight w:val="none"/>
        </w:rPr>
      </w:pPr>
    </w:p>
    <w:p w14:paraId="2EF91BC3">
      <w:pPr>
        <w:pageBreakBefore w:val="0"/>
        <w:kinsoku/>
        <w:overflowPunct/>
        <w:topLinePunct w:val="0"/>
        <w:autoSpaceDE/>
        <w:autoSpaceDN/>
        <w:bidi w:val="0"/>
        <w:spacing w:line="560" w:lineRule="exact"/>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 xml:space="preserve">乙方： </w:t>
      </w:r>
    </w:p>
    <w:p w14:paraId="3F4ED048">
      <w:pPr>
        <w:pageBreakBefore w:val="0"/>
        <w:kinsoku/>
        <w:overflowPunct/>
        <w:topLinePunct w:val="0"/>
        <w:autoSpaceDE/>
        <w:autoSpaceDN/>
        <w:bidi w:val="0"/>
        <w:spacing w:line="560" w:lineRule="exact"/>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 xml:space="preserve">地址： </w:t>
      </w:r>
    </w:p>
    <w:p w14:paraId="5CC1551D">
      <w:pPr>
        <w:pageBreakBefore w:val="0"/>
        <w:kinsoku/>
        <w:overflowPunct/>
        <w:topLinePunct w:val="0"/>
        <w:autoSpaceDE/>
        <w:autoSpaceDN/>
        <w:bidi w:val="0"/>
        <w:spacing w:line="560" w:lineRule="exact"/>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 xml:space="preserve">联系人及电话： </w:t>
      </w:r>
    </w:p>
    <w:p w14:paraId="163C0EEF">
      <w:pPr>
        <w:pageBreakBefore w:val="0"/>
        <w:kinsoku/>
        <w:overflowPunct/>
        <w:topLinePunct w:val="0"/>
        <w:autoSpaceDE/>
        <w:autoSpaceDN/>
        <w:bidi w:val="0"/>
        <w:spacing w:line="560" w:lineRule="exact"/>
        <w:ind w:firstLine="729" w:firstLineChars="228"/>
        <w:rPr>
          <w:rFonts w:hint="eastAsia" w:ascii="Times New Roman" w:hAnsi="Times New Roman" w:eastAsia="仿宋_GB2312" w:cs="仿宋"/>
          <w:b w:val="0"/>
          <w:bCs/>
          <w:sz w:val="32"/>
          <w:szCs w:val="32"/>
          <w:highlight w:val="none"/>
        </w:rPr>
      </w:pPr>
    </w:p>
    <w:p w14:paraId="1BC7CD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甲方经招标采购程序，确定乙方为甲方</w:t>
      </w:r>
      <w:r>
        <w:rPr>
          <w:rFonts w:hint="eastAsia" w:ascii="Times New Roman" w:hAnsi="Times New Roman" w:eastAsia="仿宋_GB2312" w:cs="仿宋"/>
          <w:b w:val="0"/>
          <w:bCs/>
          <w:sz w:val="32"/>
          <w:szCs w:val="32"/>
          <w:highlight w:val="none"/>
          <w:lang w:eastAsia="zh-CN"/>
        </w:rPr>
        <w:t>202</w:t>
      </w:r>
      <w:r>
        <w:rPr>
          <w:rFonts w:hint="eastAsia" w:ascii="Times New Roman" w:hAnsi="Times New Roman" w:eastAsia="仿宋_GB2312" w:cs="仿宋"/>
          <w:b w:val="0"/>
          <w:bCs/>
          <w:sz w:val="32"/>
          <w:szCs w:val="32"/>
          <w:highlight w:val="none"/>
          <w:lang w:val="en-US" w:eastAsia="zh-CN"/>
        </w:rPr>
        <w:t>5</w:t>
      </w:r>
      <w:r>
        <w:rPr>
          <w:rFonts w:hint="eastAsia" w:ascii="Times New Roman" w:hAnsi="Times New Roman" w:eastAsia="仿宋_GB2312" w:cs="仿宋"/>
          <w:b w:val="0"/>
          <w:bCs/>
          <w:sz w:val="32"/>
          <w:szCs w:val="32"/>
          <w:highlight w:val="none"/>
        </w:rPr>
        <w:t>年度</w:t>
      </w:r>
      <w:r>
        <w:rPr>
          <w:rFonts w:hint="eastAsia" w:ascii="Times New Roman" w:hAnsi="Times New Roman" w:eastAsia="仿宋_GB2312" w:cs="仿宋"/>
          <w:b w:val="0"/>
          <w:bCs/>
          <w:sz w:val="32"/>
          <w:szCs w:val="32"/>
          <w:highlight w:val="none"/>
          <w:lang w:eastAsia="zh-CN"/>
        </w:rPr>
        <w:t>员工健康</w:t>
      </w:r>
      <w:r>
        <w:rPr>
          <w:rFonts w:hint="eastAsia" w:ascii="Times New Roman" w:hAnsi="Times New Roman" w:eastAsia="仿宋_GB2312" w:cs="仿宋"/>
          <w:b w:val="0"/>
          <w:bCs/>
          <w:sz w:val="32"/>
          <w:szCs w:val="32"/>
          <w:highlight w:val="none"/>
        </w:rPr>
        <w:t>体检项目（项目编号：</w:t>
      </w:r>
      <w:r>
        <w:rPr>
          <w:rFonts w:hint="eastAsia" w:ascii="Times New Roman" w:hAnsi="Times New Roman" w:eastAsia="仿宋_GB2312" w:cs="仿宋"/>
          <w:b w:val="0"/>
          <w:bCs/>
          <w:sz w:val="32"/>
          <w:szCs w:val="32"/>
          <w:highlight w:val="none"/>
          <w:lang w:eastAsia="zh-CN"/>
        </w:rPr>
        <w:t>PLHR-ZB-FW-20250601</w:t>
      </w:r>
      <w:r>
        <w:rPr>
          <w:rFonts w:hint="eastAsia" w:ascii="Times New Roman" w:hAnsi="Times New Roman" w:eastAsia="仿宋_GB2312" w:cs="仿宋"/>
          <w:b w:val="0"/>
          <w:bCs/>
          <w:sz w:val="32"/>
          <w:szCs w:val="32"/>
          <w:highlight w:val="none"/>
        </w:rPr>
        <w:t>）中标方，双方本着平等合作、互惠互利的原则订立本服务合同，就乙方为甲方</w:t>
      </w:r>
      <w:r>
        <w:rPr>
          <w:rFonts w:hint="eastAsia" w:ascii="Times New Roman" w:hAnsi="Times New Roman" w:eastAsia="仿宋_GB2312" w:cs="仿宋"/>
          <w:b w:val="0"/>
          <w:bCs/>
          <w:sz w:val="32"/>
          <w:szCs w:val="32"/>
          <w:highlight w:val="none"/>
          <w:lang w:eastAsia="zh-CN"/>
        </w:rPr>
        <w:t>员工</w:t>
      </w:r>
      <w:r>
        <w:rPr>
          <w:rFonts w:hint="eastAsia" w:ascii="Times New Roman" w:hAnsi="Times New Roman" w:eastAsia="仿宋_GB2312" w:cs="仿宋"/>
          <w:b w:val="0"/>
          <w:bCs/>
          <w:sz w:val="32"/>
          <w:szCs w:val="32"/>
          <w:highlight w:val="none"/>
        </w:rPr>
        <w:t>提供体检服务事宜约定如下：</w:t>
      </w:r>
    </w:p>
    <w:p w14:paraId="1301C5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一、乙方义务</w:t>
      </w:r>
    </w:p>
    <w:p w14:paraId="1116C9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sz w:val="32"/>
          <w:szCs w:val="32"/>
          <w:highlight w:val="none"/>
        </w:rPr>
      </w:pPr>
      <w:r>
        <w:rPr>
          <w:rFonts w:hint="eastAsia" w:ascii="仿宋_GB2312" w:hAnsi="仿宋_GB2312" w:eastAsia="仿宋_GB2312" w:cs="仿宋_GB2312"/>
          <w:b w:val="0"/>
          <w:bCs/>
          <w:sz w:val="32"/>
          <w:szCs w:val="32"/>
          <w:highlight w:val="none"/>
          <w:lang w:val="en-US" w:eastAsia="zh-CN"/>
        </w:rPr>
        <w:t>1.</w:t>
      </w:r>
      <w:r>
        <w:rPr>
          <w:rFonts w:hint="eastAsia" w:ascii="Times New Roman" w:hAnsi="Times New Roman" w:eastAsia="仿宋_GB2312" w:cs="仿宋"/>
          <w:b w:val="0"/>
          <w:bCs/>
          <w:sz w:val="32"/>
          <w:szCs w:val="32"/>
          <w:highlight w:val="none"/>
        </w:rPr>
        <w:t>乙方按甲方项目编号为</w:t>
      </w:r>
      <w:r>
        <w:rPr>
          <w:rFonts w:hint="eastAsia" w:ascii="Times New Roman" w:hAnsi="Times New Roman" w:eastAsia="仿宋_GB2312" w:cs="仿宋"/>
          <w:b w:val="0"/>
          <w:bCs/>
          <w:sz w:val="32"/>
          <w:szCs w:val="32"/>
          <w:highlight w:val="none"/>
          <w:lang w:eastAsia="zh-CN"/>
        </w:rPr>
        <w:t>PLHR-ZB-FW-20250601</w:t>
      </w:r>
      <w:r>
        <w:rPr>
          <w:rFonts w:hint="eastAsia" w:ascii="Times New Roman" w:hAnsi="Times New Roman" w:eastAsia="仿宋_GB2312" w:cs="仿宋"/>
          <w:b w:val="0"/>
          <w:bCs/>
          <w:sz w:val="32"/>
          <w:szCs w:val="32"/>
          <w:highlight w:val="none"/>
        </w:rPr>
        <w:t>的招标文件及该项目邀请投标公告的要求为甲方员工提供健康体检服务，确认甲方体检人员与其本人身份证是否一致，避免代检、替检。甲方员工体检结果出具后，乙方必须以邮件形式告知甲方指定联系人。</w:t>
      </w:r>
    </w:p>
    <w:p w14:paraId="292984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2.</w:t>
      </w:r>
      <w:r>
        <w:rPr>
          <w:rFonts w:hint="eastAsia" w:ascii="仿宋_GB2312" w:hAnsi="仿宋_GB2312" w:eastAsia="仿宋_GB2312" w:cs="仿宋_GB2312"/>
          <w:b w:val="0"/>
          <w:bCs/>
          <w:sz w:val="32"/>
          <w:szCs w:val="32"/>
          <w:highlight w:val="none"/>
        </w:rPr>
        <w:t>乙方提供以下有效收款账户作为体检费用结算账户（中标人填写）</w:t>
      </w:r>
    </w:p>
    <w:p w14:paraId="6B1136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收款单位：</w:t>
      </w:r>
    </w:p>
    <w:p w14:paraId="4DAE1A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收款银行：</w:t>
      </w:r>
    </w:p>
    <w:p w14:paraId="2B948B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银行账号：</w:t>
      </w:r>
    </w:p>
    <w:p w14:paraId="6C1171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3.</w:t>
      </w:r>
      <w:r>
        <w:rPr>
          <w:rFonts w:hint="eastAsia" w:ascii="仿宋_GB2312" w:hAnsi="仿宋_GB2312" w:eastAsia="仿宋_GB2312" w:cs="仿宋_GB2312"/>
          <w:b w:val="0"/>
          <w:bCs/>
          <w:sz w:val="32"/>
          <w:szCs w:val="32"/>
          <w:highlight w:val="none"/>
        </w:rPr>
        <w:t>乙方应向甲方开具符合国家法律法规规定的</w:t>
      </w:r>
      <w:r>
        <w:rPr>
          <w:rFonts w:hint="eastAsia" w:ascii="仿宋_GB2312" w:hAnsi="仿宋_GB2312" w:eastAsia="仿宋_GB2312" w:cs="仿宋_GB2312"/>
          <w:b w:val="0"/>
          <w:bCs/>
          <w:sz w:val="32"/>
          <w:szCs w:val="32"/>
          <w:highlight w:val="none"/>
          <w:lang w:eastAsia="zh-CN"/>
        </w:rPr>
        <w:t>票据</w:t>
      </w:r>
      <w:r>
        <w:rPr>
          <w:rFonts w:hint="eastAsia" w:ascii="仿宋_GB2312" w:hAnsi="仿宋_GB2312" w:eastAsia="仿宋_GB2312" w:cs="仿宋_GB2312"/>
          <w:b w:val="0"/>
          <w:bCs/>
          <w:sz w:val="32"/>
          <w:szCs w:val="32"/>
          <w:highlight w:val="none"/>
        </w:rPr>
        <w:t>，并提供实际到检人员名单及标准明细以便甲方实施体检费用结算。</w:t>
      </w:r>
    </w:p>
    <w:p w14:paraId="3BA7B6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4.</w:t>
      </w:r>
      <w:r>
        <w:rPr>
          <w:rFonts w:hint="eastAsia" w:ascii="仿宋_GB2312" w:hAnsi="仿宋_GB2312" w:eastAsia="仿宋_GB2312" w:cs="仿宋_GB2312"/>
          <w:b w:val="0"/>
          <w:bCs/>
          <w:sz w:val="32"/>
          <w:szCs w:val="32"/>
          <w:highlight w:val="none"/>
        </w:rPr>
        <w:t>乙方为甲方员工预留的企业员工体检服务期限为</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（待招标确定）</w:t>
      </w:r>
    </w:p>
    <w:p w14:paraId="0B3720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二、甲方义务</w:t>
      </w:r>
    </w:p>
    <w:p w14:paraId="67669605">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向乙方指定接口人提供应体检人员的必要个人信息；</w:t>
      </w:r>
    </w:p>
    <w:p w14:paraId="5384F1C1">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体检报告由甲方体检人员自取，乙方于体检完成的15个工作日内提供已出具的体检人电子报告至甲方。</w:t>
      </w:r>
    </w:p>
    <w:p w14:paraId="3C52CF7E">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
          <w:b w:val="0"/>
          <w:bCs/>
          <w:sz w:val="32"/>
          <w:szCs w:val="32"/>
          <w:highlight w:val="none"/>
        </w:rPr>
      </w:pPr>
      <w:r>
        <w:rPr>
          <w:rFonts w:hint="eastAsia" w:ascii="Times New Roman" w:hAnsi="Times New Roman" w:eastAsia="仿宋_GB2312" w:cs="仿宋"/>
          <w:b w:val="0"/>
          <w:bCs/>
          <w:sz w:val="32"/>
          <w:szCs w:val="32"/>
          <w:highlight w:val="none"/>
        </w:rPr>
        <w:t>乙方履行本合同第</w:t>
      </w:r>
      <w:r>
        <w:rPr>
          <w:rFonts w:hint="eastAsia" w:ascii="Times New Roman" w:hAnsi="Times New Roman" w:eastAsia="仿宋_GB2312" w:cs="仿宋"/>
          <w:b w:val="0"/>
          <w:bCs/>
          <w:sz w:val="32"/>
          <w:szCs w:val="32"/>
          <w:highlight w:val="none"/>
          <w:lang w:eastAsia="zh-CN"/>
        </w:rPr>
        <w:t>一</w:t>
      </w:r>
      <w:r>
        <w:rPr>
          <w:rFonts w:hint="eastAsia" w:ascii="Times New Roman" w:hAnsi="Times New Roman" w:eastAsia="仿宋_GB2312" w:cs="仿宋"/>
          <w:b w:val="0"/>
          <w:bCs/>
          <w:sz w:val="32"/>
          <w:szCs w:val="32"/>
          <w:highlight w:val="none"/>
        </w:rPr>
        <w:t>条第2、3款义务后，由甲方在收到</w:t>
      </w:r>
      <w:r>
        <w:rPr>
          <w:rFonts w:hint="eastAsia" w:ascii="Times New Roman" w:hAnsi="Times New Roman" w:eastAsia="仿宋_GB2312" w:cs="仿宋"/>
          <w:b w:val="0"/>
          <w:bCs/>
          <w:sz w:val="32"/>
          <w:szCs w:val="32"/>
          <w:highlight w:val="none"/>
          <w:lang w:eastAsia="zh-CN"/>
        </w:rPr>
        <w:t>票据</w:t>
      </w:r>
      <w:r>
        <w:rPr>
          <w:rFonts w:hint="eastAsia" w:ascii="Times New Roman" w:hAnsi="Times New Roman" w:eastAsia="仿宋_GB2312" w:cs="仿宋"/>
          <w:b w:val="0"/>
          <w:bCs/>
          <w:sz w:val="32"/>
          <w:szCs w:val="32"/>
          <w:highlight w:val="none"/>
          <w:lang w:val="en-US" w:eastAsia="zh-CN"/>
        </w:rPr>
        <w:t>5</w:t>
      </w:r>
      <w:r>
        <w:rPr>
          <w:rFonts w:hint="eastAsia" w:ascii="Times New Roman" w:hAnsi="Times New Roman" w:eastAsia="仿宋_GB2312" w:cs="仿宋"/>
          <w:b w:val="0"/>
          <w:bCs/>
          <w:sz w:val="32"/>
          <w:szCs w:val="32"/>
          <w:highlight w:val="none"/>
        </w:rPr>
        <w:t>个工作日内将体检费用转账至</w:t>
      </w:r>
      <w:r>
        <w:rPr>
          <w:rFonts w:hint="eastAsia" w:ascii="Times New Roman" w:hAnsi="Times New Roman" w:eastAsia="仿宋_GB2312" w:cs="仿宋"/>
          <w:b w:val="0"/>
          <w:bCs/>
          <w:sz w:val="32"/>
          <w:szCs w:val="32"/>
          <w:highlight w:val="none"/>
          <w:lang w:eastAsia="zh-CN"/>
        </w:rPr>
        <w:t>本合同</w:t>
      </w:r>
      <w:r>
        <w:rPr>
          <w:rFonts w:hint="eastAsia" w:ascii="Times New Roman" w:hAnsi="Times New Roman" w:eastAsia="仿宋_GB2312" w:cs="仿宋"/>
          <w:b w:val="0"/>
          <w:bCs/>
          <w:sz w:val="32"/>
          <w:szCs w:val="32"/>
          <w:highlight w:val="none"/>
        </w:rPr>
        <w:t>第</w:t>
      </w:r>
      <w:r>
        <w:rPr>
          <w:rFonts w:hint="eastAsia" w:ascii="Times New Roman" w:hAnsi="Times New Roman" w:eastAsia="仿宋_GB2312" w:cs="仿宋"/>
          <w:b w:val="0"/>
          <w:bCs/>
          <w:sz w:val="32"/>
          <w:szCs w:val="32"/>
          <w:highlight w:val="none"/>
          <w:lang w:eastAsia="zh-CN"/>
        </w:rPr>
        <w:t>一</w:t>
      </w:r>
      <w:r>
        <w:rPr>
          <w:rFonts w:hint="eastAsia" w:ascii="Times New Roman" w:hAnsi="Times New Roman" w:eastAsia="仿宋_GB2312" w:cs="仿宋"/>
          <w:b w:val="0"/>
          <w:bCs/>
          <w:sz w:val="32"/>
          <w:szCs w:val="32"/>
          <w:highlight w:val="none"/>
        </w:rPr>
        <w:t>条第2款</w:t>
      </w:r>
      <w:r>
        <w:rPr>
          <w:rFonts w:hint="eastAsia" w:ascii="Times New Roman" w:hAnsi="Times New Roman" w:eastAsia="仿宋_GB2312" w:cs="仿宋"/>
          <w:b w:val="0"/>
          <w:bCs/>
          <w:sz w:val="32"/>
          <w:szCs w:val="32"/>
          <w:highlight w:val="none"/>
          <w:lang w:eastAsia="zh-CN"/>
        </w:rPr>
        <w:t>所列示的</w:t>
      </w:r>
      <w:r>
        <w:rPr>
          <w:rFonts w:hint="eastAsia" w:ascii="Times New Roman" w:hAnsi="Times New Roman" w:eastAsia="仿宋_GB2312" w:cs="仿宋"/>
          <w:b w:val="0"/>
          <w:bCs/>
          <w:sz w:val="32"/>
          <w:szCs w:val="32"/>
          <w:highlight w:val="none"/>
        </w:rPr>
        <w:t>银行账户。</w:t>
      </w:r>
    </w:p>
    <w:p w14:paraId="4731DF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三、体检内容及收费标准</w:t>
      </w:r>
    </w:p>
    <w:p w14:paraId="6F5E22EA">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lang w:val="en-US" w:eastAsia="zh-CN"/>
        </w:rPr>
        <w:t>1.</w:t>
      </w:r>
      <w:r>
        <w:rPr>
          <w:rFonts w:hint="eastAsia" w:ascii="仿宋_GB2312" w:hAnsi="仿宋_GB2312" w:eastAsia="仿宋_GB2312" w:cs="仿宋_GB2312"/>
          <w:b/>
          <w:bCs w:val="0"/>
          <w:sz w:val="32"/>
          <w:szCs w:val="32"/>
          <w:highlight w:val="none"/>
        </w:rPr>
        <w:t>体检内容</w:t>
      </w:r>
    </w:p>
    <w:p w14:paraId="335E918E">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原则上按中标人提交的投标文件执行，如合同实质性谈判阶段出现有利于招标人的更优条件，按谈判记录列示内容执行。</w:t>
      </w:r>
    </w:p>
    <w:p w14:paraId="6AA7E0D3">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sz w:val="32"/>
          <w:szCs w:val="32"/>
          <w:highlight w:val="none"/>
          <w:lang w:eastAsia="zh-CN"/>
        </w:rPr>
      </w:pPr>
      <w:r>
        <w:rPr>
          <w:rFonts w:hint="eastAsia" w:ascii="仿宋_GB2312" w:hAnsi="仿宋_GB2312" w:eastAsia="仿宋_GB2312" w:cs="仿宋_GB2312"/>
          <w:b/>
          <w:bCs w:val="0"/>
          <w:sz w:val="32"/>
          <w:szCs w:val="32"/>
          <w:highlight w:val="none"/>
          <w:lang w:val="en-US" w:eastAsia="zh-CN"/>
        </w:rPr>
        <w:t>2.</w:t>
      </w:r>
      <w:r>
        <w:rPr>
          <w:rFonts w:hint="eastAsia" w:ascii="仿宋_GB2312" w:hAnsi="仿宋_GB2312" w:eastAsia="仿宋_GB2312" w:cs="仿宋_GB2312"/>
          <w:b/>
          <w:bCs w:val="0"/>
          <w:sz w:val="32"/>
          <w:szCs w:val="32"/>
          <w:highlight w:val="none"/>
          <w:lang w:eastAsia="zh-CN"/>
        </w:rPr>
        <w:t>收费标准</w:t>
      </w:r>
    </w:p>
    <w:p w14:paraId="624CE9ED">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_GB2312" w:hAnsi="仿宋_GB2312" w:eastAsia="仿宋_GB2312" w:cs="仿宋_GB2312"/>
          <w:b w:val="0"/>
          <w:bCs/>
          <w:sz w:val="32"/>
          <w:szCs w:val="32"/>
          <w:highlight w:val="none"/>
        </w:rPr>
        <w:t>原则上按中标人提交的投标文件执行，如合同实质性谈判阶段出现有利于招标人的更优条件，按谈判记录列示内容执行。</w:t>
      </w:r>
    </w:p>
    <w:p w14:paraId="3227E2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四、禁止贿赂</w:t>
      </w:r>
    </w:p>
    <w:p w14:paraId="43AECEB7">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eastAsia="仿宋_GB2312" w:cs="仿宋_GB2312"/>
          <w:b w:val="0"/>
          <w:bCs/>
          <w:sz w:val="32"/>
          <w:szCs w:val="32"/>
          <w:highlight w:val="none"/>
        </w:rPr>
        <w:t>甲乙双方同时遵守《供需双方廉洁互保协议》。</w:t>
      </w:r>
    </w:p>
    <w:p w14:paraId="2A157AD3">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2.</w:t>
      </w:r>
      <w:r>
        <w:rPr>
          <w:rFonts w:hint="eastAsia" w:ascii="仿宋_GB2312" w:hAnsi="仿宋_GB2312" w:eastAsia="仿宋_GB2312" w:cs="仿宋_GB2312"/>
          <w:b w:val="0"/>
          <w:bCs/>
          <w:sz w:val="32"/>
          <w:szCs w:val="32"/>
          <w:highlight w:val="none"/>
        </w:rPr>
        <w:t>若任何一方违反《供需双方廉洁互保协议》，视同违约。守约方有权以书面形式通知违约方单方终止本合同，同时保留依法采取进一步法律措施的权利，违约方应承担由此给守约方带来的一切损失。</w:t>
      </w:r>
    </w:p>
    <w:p w14:paraId="71B7194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sz w:val="32"/>
          <w:szCs w:val="32"/>
          <w:highlight w:val="none"/>
          <w:lang w:val="en-US"/>
        </w:rPr>
      </w:pPr>
      <w:r>
        <w:rPr>
          <w:rFonts w:hint="eastAsia" w:ascii="黑体" w:hAnsi="黑体" w:eastAsia="黑体" w:cs="黑体"/>
          <w:b w:val="0"/>
          <w:bCs/>
          <w:sz w:val="32"/>
          <w:szCs w:val="32"/>
          <w:highlight w:val="none"/>
          <w:lang w:val="en-US" w:eastAsia="zh-CN"/>
        </w:rPr>
        <w:t>五</w:t>
      </w:r>
      <w:r>
        <w:rPr>
          <w:rFonts w:hint="eastAsia" w:ascii="黑体" w:hAnsi="黑体" w:eastAsia="黑体" w:cs="黑体"/>
          <w:b w:val="0"/>
          <w:bCs/>
          <w:sz w:val="32"/>
          <w:szCs w:val="32"/>
          <w:highlight w:val="none"/>
        </w:rPr>
        <w:t>、</w:t>
      </w:r>
      <w:r>
        <w:rPr>
          <w:rFonts w:hint="eastAsia" w:ascii="黑体" w:hAnsi="黑体" w:eastAsia="黑体" w:cs="黑体"/>
          <w:b w:val="0"/>
          <w:bCs/>
          <w:sz w:val="32"/>
          <w:szCs w:val="32"/>
          <w:highlight w:val="none"/>
          <w:lang w:val="en-US" w:eastAsia="zh-CN"/>
        </w:rPr>
        <w:t>合同生效及其它</w:t>
      </w:r>
    </w:p>
    <w:p w14:paraId="3161A32B">
      <w:pPr>
        <w:pStyle w:val="19"/>
        <w:keepNext w:val="0"/>
        <w:keepLines w:val="0"/>
        <w:pageBreakBefore w:val="0"/>
        <w:widowControl w:val="0"/>
        <w:numPr>
          <w:ilvl w:val="0"/>
          <w:numId w:val="11"/>
        </w:numPr>
        <w:kinsoku/>
        <w:wordWrap w:val="0"/>
        <w:overflowPunct/>
        <w:topLinePunct w:val="0"/>
        <w:autoSpaceDE/>
        <w:autoSpaceDN/>
        <w:bidi w:val="0"/>
        <w:adjustRightInd/>
        <w:snapToGrid/>
        <w:spacing w:line="560" w:lineRule="exact"/>
        <w:ind w:left="-11"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本合同自双方授权代表签字并加盖公章后生效，</w:t>
      </w:r>
      <w:r>
        <w:rPr>
          <w:rFonts w:hint="eastAsia" w:ascii="Times New Roman" w:hAnsi="Times New Roman" w:eastAsia="仿宋_GB2312" w:cs="仿宋_GB2312"/>
          <w:b w:val="0"/>
          <w:bCs/>
          <w:sz w:val="32"/>
          <w:szCs w:val="32"/>
          <w:highlight w:val="none"/>
        </w:rPr>
        <w:t>本项目期限为订立合同之日起至招标人指定</w:t>
      </w:r>
      <w:r>
        <w:rPr>
          <w:rFonts w:hint="eastAsia" w:ascii="Times New Roman" w:hAnsi="Times New Roman" w:eastAsia="仿宋_GB2312" w:cs="仿宋_GB2312"/>
          <w:b w:val="0"/>
          <w:bCs/>
          <w:sz w:val="32"/>
          <w:szCs w:val="32"/>
          <w:highlight w:val="none"/>
          <w:lang w:eastAsia="zh-CN"/>
        </w:rPr>
        <w:t>员工</w:t>
      </w:r>
      <w:r>
        <w:rPr>
          <w:rFonts w:hint="eastAsia" w:ascii="Times New Roman" w:hAnsi="Times New Roman" w:eastAsia="仿宋_GB2312" w:cs="仿宋_GB2312"/>
          <w:b w:val="0"/>
          <w:bCs/>
          <w:sz w:val="32"/>
          <w:szCs w:val="32"/>
          <w:highlight w:val="none"/>
        </w:rPr>
        <w:t>年度</w:t>
      </w:r>
      <w:r>
        <w:rPr>
          <w:rFonts w:hint="eastAsia" w:ascii="Times New Roman" w:hAnsi="Times New Roman" w:eastAsia="仿宋_GB2312" w:cs="仿宋_GB2312"/>
          <w:b w:val="0"/>
          <w:bCs/>
          <w:sz w:val="32"/>
          <w:szCs w:val="32"/>
          <w:highlight w:val="none"/>
          <w:lang w:eastAsia="zh-CN"/>
        </w:rPr>
        <w:t>健康</w:t>
      </w:r>
      <w:r>
        <w:rPr>
          <w:rFonts w:hint="eastAsia" w:ascii="Times New Roman" w:hAnsi="Times New Roman" w:eastAsia="仿宋_GB2312" w:cs="仿宋_GB2312"/>
          <w:b w:val="0"/>
          <w:bCs/>
          <w:sz w:val="32"/>
          <w:szCs w:val="32"/>
          <w:highlight w:val="none"/>
        </w:rPr>
        <w:t>体检全部完成</w:t>
      </w:r>
      <w:r>
        <w:rPr>
          <w:rFonts w:hint="eastAsia" w:ascii="Times New Roman" w:hAnsi="Times New Roman" w:eastAsia="仿宋_GB2312" w:cs="仿宋_GB2312"/>
          <w:b w:val="0"/>
          <w:bCs/>
          <w:sz w:val="32"/>
          <w:szCs w:val="32"/>
          <w:highlight w:val="none"/>
          <w:lang w:eastAsia="zh-CN"/>
        </w:rPr>
        <w:t>，招标人员工自行放弃体检的情况除外。</w:t>
      </w:r>
    </w:p>
    <w:p w14:paraId="0FC48CD2">
      <w:pPr>
        <w:keepNext w:val="0"/>
        <w:keepLines w:val="0"/>
        <w:pageBreakBefore w:val="0"/>
        <w:widowControl w:val="0"/>
        <w:numPr>
          <w:ilvl w:val="0"/>
          <w:numId w:val="11"/>
        </w:numPr>
        <w:kinsoku/>
        <w:wordWrap w:val="0"/>
        <w:overflowPunct/>
        <w:topLinePunct w:val="0"/>
        <w:autoSpaceDE/>
        <w:autoSpaceDN/>
        <w:bidi w:val="0"/>
        <w:adjustRightInd/>
        <w:snapToGrid/>
        <w:spacing w:line="560" w:lineRule="exact"/>
        <w:ind w:left="-10" w:leftChars="0" w:firstLine="640" w:firstLineChars="0"/>
        <w:textAlignment w:val="auto"/>
        <w:rPr>
          <w:rFonts w:hint="eastAsia" w:ascii="Times New Roman" w:hAnsi="Times New Roman" w:eastAsia="仿宋_GB2312" w:cs="仿宋_GB2312"/>
          <w:bCs/>
          <w:sz w:val="32"/>
          <w:szCs w:val="32"/>
        </w:rPr>
      </w:pPr>
      <w:r>
        <w:rPr>
          <w:rFonts w:hint="eastAsia" w:ascii="Times New Roman" w:hAnsi="Times New Roman" w:eastAsia="仿宋_GB2312" w:cs="仿宋_GB2312"/>
          <w:color w:val="000000"/>
          <w:sz w:val="32"/>
          <w:szCs w:val="32"/>
        </w:rPr>
        <w:t>合同正本一式肆份，双方各执贰份，</w:t>
      </w:r>
      <w:r>
        <w:rPr>
          <w:rFonts w:hint="eastAsia" w:ascii="Times New Roman" w:hAnsi="Times New Roman" w:eastAsia="仿宋_GB2312" w:cs="仿宋_GB2312"/>
          <w:bCs/>
          <w:sz w:val="32"/>
          <w:szCs w:val="32"/>
        </w:rPr>
        <w:t>均具</w:t>
      </w:r>
      <w:r>
        <w:rPr>
          <w:rFonts w:hint="eastAsia" w:ascii="Times New Roman" w:hAnsi="Times New Roman" w:eastAsia="仿宋_GB2312" w:cs="仿宋_GB2312"/>
          <w:bCs/>
          <w:sz w:val="32"/>
          <w:szCs w:val="32"/>
          <w:lang w:val="en-US" w:eastAsia="zh-CN"/>
        </w:rPr>
        <w:t>有</w:t>
      </w:r>
      <w:r>
        <w:rPr>
          <w:rFonts w:hint="eastAsia" w:ascii="Times New Roman" w:hAnsi="Times New Roman" w:eastAsia="仿宋_GB2312" w:cs="仿宋_GB2312"/>
          <w:bCs/>
          <w:sz w:val="32"/>
          <w:szCs w:val="32"/>
        </w:rPr>
        <w:t>同等法律效力，经双方授权代表签字并加盖公章后生效。</w:t>
      </w:r>
    </w:p>
    <w:p w14:paraId="6D913552">
      <w:pPr>
        <w:keepNext w:val="0"/>
        <w:keepLines w:val="0"/>
        <w:pageBreakBefore w:val="0"/>
        <w:widowControl w:val="0"/>
        <w:numPr>
          <w:ilvl w:val="0"/>
          <w:numId w:val="11"/>
        </w:numPr>
        <w:kinsoku/>
        <w:wordWrap w:val="0"/>
        <w:overflowPunct/>
        <w:topLinePunct w:val="0"/>
        <w:autoSpaceDE/>
        <w:autoSpaceDN/>
        <w:bidi w:val="0"/>
        <w:adjustRightInd/>
        <w:snapToGrid/>
        <w:spacing w:before="120" w:beforeLines="50" w:line="560" w:lineRule="exact"/>
        <w:ind w:left="-10" w:leftChars="0" w:firstLine="640" w:firstLineChars="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除非本合同另有规定或双方同意，否则本合同规定的一切通知、文件资料均应采用书面形式，送交对方的主要营业地址或双方为此而指定的其他地址。</w:t>
      </w:r>
    </w:p>
    <w:p w14:paraId="521ABFCF">
      <w:pPr>
        <w:keepNext w:val="0"/>
        <w:keepLines w:val="0"/>
        <w:pageBreakBefore w:val="0"/>
        <w:widowControl w:val="0"/>
        <w:numPr>
          <w:ilvl w:val="0"/>
          <w:numId w:val="11"/>
        </w:numPr>
        <w:kinsoku/>
        <w:wordWrap w:val="0"/>
        <w:overflowPunct/>
        <w:topLinePunct w:val="0"/>
        <w:autoSpaceDE/>
        <w:autoSpaceDN/>
        <w:bidi w:val="0"/>
        <w:adjustRightInd/>
        <w:snapToGrid/>
        <w:spacing w:line="560" w:lineRule="exact"/>
        <w:ind w:left="-10" w:leftChars="0" w:firstLine="640" w:firstLineChars="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以下文件均为本合同的有效组成部分，与合同正文具有同等法律效力。若合同附件与合同正文存在冲突的，双方均同意按照有利于甲方的条款执行。</w:t>
      </w:r>
    </w:p>
    <w:p w14:paraId="155BDF27">
      <w:pPr>
        <w:pStyle w:val="30"/>
        <w:keepNext w:val="0"/>
        <w:keepLines w:val="0"/>
        <w:pageBreakBefore w:val="0"/>
        <w:widowControl w:val="0"/>
        <w:numPr>
          <w:ilvl w:val="0"/>
          <w:numId w:val="12"/>
        </w:numPr>
        <w:kinsoku/>
        <w:wordWrap w:val="0"/>
        <w:overflowPunct/>
        <w:topLinePunct w:val="0"/>
        <w:autoSpaceDE/>
        <w:autoSpaceDN/>
        <w:bidi w:val="0"/>
        <w:adjustRightInd/>
        <w:snapToGrid/>
        <w:spacing w:beforeLines="0" w:after="0" w:line="560"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甲方作为项目采购人发布的编号为</w:t>
      </w:r>
      <w:r>
        <w:rPr>
          <w:rFonts w:hint="eastAsia" w:ascii="Times New Roman" w:hAnsi="Times New Roman" w:cs="仿宋_GB2312"/>
          <w:b w:val="0"/>
          <w:bCs/>
          <w:sz w:val="32"/>
          <w:szCs w:val="32"/>
          <w:highlight w:val="none"/>
          <w:u w:val="single"/>
          <w:lang w:eastAsia="zh-CN"/>
        </w:rPr>
        <w:t>PLHR-ZB-FW-20250601</w:t>
      </w:r>
      <w:r>
        <w:rPr>
          <w:rFonts w:hint="eastAsia" w:ascii="Times New Roman" w:hAnsi="Times New Roman" w:eastAsia="仿宋_GB2312" w:cs="仿宋_GB2312"/>
          <w:color w:val="000000"/>
          <w:sz w:val="32"/>
          <w:szCs w:val="32"/>
        </w:rPr>
        <w:t>的招标文件及招标采购过程中出具的答疑、补正、澄清文件；</w:t>
      </w:r>
    </w:p>
    <w:p w14:paraId="7EAA1C5C">
      <w:pPr>
        <w:pStyle w:val="30"/>
        <w:keepNext w:val="0"/>
        <w:keepLines w:val="0"/>
        <w:pageBreakBefore w:val="0"/>
        <w:widowControl w:val="0"/>
        <w:numPr>
          <w:ilvl w:val="0"/>
          <w:numId w:val="12"/>
        </w:numPr>
        <w:kinsoku/>
        <w:wordWrap w:val="0"/>
        <w:overflowPunct/>
        <w:topLinePunct w:val="0"/>
        <w:autoSpaceDE/>
        <w:autoSpaceDN/>
        <w:bidi w:val="0"/>
        <w:adjustRightInd/>
        <w:snapToGrid/>
        <w:spacing w:beforeLines="0" w:after="0" w:line="560"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乙方作为项目投标人对本项目招标做出实质响应的投标文件及其随附材料。</w:t>
      </w:r>
    </w:p>
    <w:p w14:paraId="75688BF5">
      <w:pPr>
        <w:pStyle w:val="30"/>
        <w:keepNext w:val="0"/>
        <w:keepLines w:val="0"/>
        <w:pageBreakBefore w:val="0"/>
        <w:widowControl w:val="0"/>
        <w:numPr>
          <w:ilvl w:val="0"/>
          <w:numId w:val="12"/>
        </w:numPr>
        <w:kinsoku/>
        <w:wordWrap w:val="0"/>
        <w:overflowPunct/>
        <w:topLinePunct w:val="0"/>
        <w:autoSpaceDE/>
        <w:autoSpaceDN/>
        <w:bidi w:val="0"/>
        <w:adjustRightInd/>
        <w:snapToGrid/>
        <w:spacing w:beforeLines="0" w:after="0" w:line="560"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投标人在投标或标后合同谈判现场做出的由乙方投标代表实施的述标内容、述标文件及经乙方谈判代表签字确认的谈判记录。</w:t>
      </w:r>
    </w:p>
    <w:p w14:paraId="6FBA53A6">
      <w:pPr>
        <w:pStyle w:val="30"/>
        <w:keepNext w:val="0"/>
        <w:keepLines w:val="0"/>
        <w:pageBreakBefore w:val="0"/>
        <w:widowControl w:val="0"/>
        <w:numPr>
          <w:ilvl w:val="0"/>
          <w:numId w:val="12"/>
        </w:numPr>
        <w:kinsoku/>
        <w:wordWrap w:val="0"/>
        <w:overflowPunct/>
        <w:topLinePunct w:val="0"/>
        <w:autoSpaceDE/>
        <w:autoSpaceDN/>
        <w:bidi w:val="0"/>
        <w:adjustRightInd/>
        <w:snapToGrid/>
        <w:spacing w:beforeLines="0" w:after="0" w:line="560"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本合同附件（《供需双方廉洁互保协议》、《深圳市鹏劳人力资源管理有限公司供应商环境及职业健康安全体系符合性承诺书》）</w:t>
      </w:r>
    </w:p>
    <w:p w14:paraId="7F454B3E">
      <w:pPr>
        <w:pStyle w:val="30"/>
        <w:keepNext w:val="0"/>
        <w:keepLines w:val="0"/>
        <w:pageBreakBefore w:val="0"/>
        <w:widowControl w:val="0"/>
        <w:numPr>
          <w:ilvl w:val="0"/>
          <w:numId w:val="12"/>
        </w:numPr>
        <w:kinsoku/>
        <w:wordWrap w:val="0"/>
        <w:overflowPunct/>
        <w:topLinePunct w:val="0"/>
        <w:autoSpaceDE/>
        <w:autoSpaceDN/>
        <w:bidi w:val="0"/>
        <w:adjustRightInd/>
        <w:snapToGrid/>
        <w:spacing w:beforeLines="0" w:after="0" w:line="560"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本合同未尽事宜，由双方协商解决，形成书面补充协议，双方签字盖章后生效。</w:t>
      </w:r>
    </w:p>
    <w:p w14:paraId="5BADBA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eastAsia="zh-CN"/>
        </w:rPr>
      </w:pPr>
      <w:r>
        <w:rPr>
          <w:rFonts w:hint="eastAsia" w:ascii="黑体" w:hAnsi="黑体" w:eastAsia="黑体" w:cs="黑体"/>
          <w:b w:val="0"/>
          <w:bCs/>
          <w:sz w:val="32"/>
          <w:szCs w:val="32"/>
          <w:highlight w:val="none"/>
          <w:lang w:val="en-US" w:eastAsia="zh-CN"/>
        </w:rPr>
        <w:t>六、</w:t>
      </w:r>
      <w:r>
        <w:rPr>
          <w:rFonts w:hint="eastAsia" w:ascii="黑体" w:hAnsi="黑体" w:eastAsia="黑体" w:cs="黑体"/>
          <w:b w:val="0"/>
          <w:bCs/>
          <w:sz w:val="32"/>
          <w:szCs w:val="32"/>
          <w:highlight w:val="none"/>
          <w:lang w:eastAsia="zh-CN"/>
        </w:rPr>
        <w:t>争议解决</w:t>
      </w:r>
    </w:p>
    <w:p w14:paraId="0FC6C7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本合同适用《中华人民共和国民法典》等法律。</w:t>
      </w:r>
    </w:p>
    <w:p w14:paraId="184B9E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rPr>
        <w:t>甲乙双方同意且认可</w:t>
      </w:r>
      <w:r>
        <w:rPr>
          <w:rFonts w:hint="eastAsia" w:ascii="仿宋_GB2312" w:hAnsi="仿宋_GB2312" w:eastAsia="仿宋_GB2312" w:cs="仿宋_GB2312"/>
          <w:b w:val="0"/>
          <w:bCs/>
          <w:sz w:val="32"/>
          <w:szCs w:val="32"/>
          <w:highlight w:val="none"/>
          <w:lang w:val="en-US" w:eastAsia="zh-CN"/>
        </w:rPr>
        <w:t>本项目招标</w:t>
      </w:r>
      <w:r>
        <w:rPr>
          <w:rFonts w:hint="eastAsia" w:ascii="仿宋_GB2312" w:hAnsi="仿宋_GB2312" w:eastAsia="仿宋_GB2312" w:cs="仿宋_GB2312"/>
          <w:b w:val="0"/>
          <w:bCs/>
          <w:sz w:val="32"/>
          <w:szCs w:val="32"/>
          <w:highlight w:val="none"/>
        </w:rPr>
        <w:t>文件</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投标文件、合同谈判记录、合同文本之间</w:t>
      </w:r>
      <w:r>
        <w:rPr>
          <w:rFonts w:hint="eastAsia" w:ascii="仿宋_GB2312" w:hAnsi="仿宋_GB2312" w:eastAsia="仿宋_GB2312" w:cs="仿宋_GB2312"/>
          <w:b w:val="0"/>
          <w:bCs/>
          <w:sz w:val="32"/>
          <w:szCs w:val="32"/>
          <w:highlight w:val="none"/>
        </w:rPr>
        <w:t>存在冲突的，以</w:t>
      </w:r>
      <w:r>
        <w:rPr>
          <w:rFonts w:hint="eastAsia" w:ascii="仿宋_GB2312" w:hAnsi="仿宋_GB2312" w:eastAsia="仿宋_GB2312" w:cs="仿宋_GB2312"/>
          <w:b w:val="0"/>
          <w:bCs/>
          <w:sz w:val="32"/>
          <w:szCs w:val="32"/>
          <w:highlight w:val="none"/>
          <w:lang w:val="en-US" w:eastAsia="zh-CN"/>
        </w:rPr>
        <w:t>最</w:t>
      </w:r>
      <w:r>
        <w:rPr>
          <w:rFonts w:hint="eastAsia" w:ascii="仿宋_GB2312" w:hAnsi="仿宋_GB2312" w:eastAsia="仿宋_GB2312" w:cs="仿宋_GB2312"/>
          <w:b w:val="0"/>
          <w:bCs/>
          <w:sz w:val="32"/>
          <w:szCs w:val="32"/>
          <w:highlight w:val="none"/>
        </w:rPr>
        <w:t>有利于甲方</w:t>
      </w:r>
      <w:r>
        <w:rPr>
          <w:rFonts w:hint="eastAsia" w:ascii="仿宋_GB2312" w:hAnsi="仿宋_GB2312" w:eastAsia="仿宋_GB2312" w:cs="仿宋_GB2312"/>
          <w:b w:val="0"/>
          <w:bCs/>
          <w:sz w:val="32"/>
          <w:szCs w:val="32"/>
          <w:highlight w:val="none"/>
          <w:lang w:val="en-US" w:eastAsia="zh-CN"/>
        </w:rPr>
        <w:t>的</w:t>
      </w:r>
      <w:r>
        <w:rPr>
          <w:rFonts w:hint="eastAsia" w:ascii="仿宋_GB2312" w:hAnsi="仿宋_GB2312" w:eastAsia="仿宋_GB2312" w:cs="仿宋_GB2312"/>
          <w:b w:val="0"/>
          <w:bCs/>
          <w:sz w:val="32"/>
          <w:szCs w:val="32"/>
          <w:highlight w:val="none"/>
        </w:rPr>
        <w:t>内容为准</w:t>
      </w:r>
      <w:r>
        <w:rPr>
          <w:rFonts w:hint="eastAsia" w:ascii="仿宋_GB2312" w:hAnsi="仿宋_GB2312" w:eastAsia="仿宋_GB2312" w:cs="仿宋_GB2312"/>
          <w:b w:val="0"/>
          <w:bCs/>
          <w:sz w:val="32"/>
          <w:szCs w:val="32"/>
          <w:highlight w:val="none"/>
          <w:lang w:eastAsia="zh-CN"/>
        </w:rPr>
        <w:t>。</w:t>
      </w:r>
    </w:p>
    <w:p w14:paraId="3D00AF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甲乙双方如果发生争议，应当友好协商解决，如协商不成，提交罗湖人民法院解决。</w:t>
      </w:r>
    </w:p>
    <w:p w14:paraId="67A80090">
      <w:pPr>
        <w:pageBreakBefore w:val="0"/>
        <w:kinsoku/>
        <w:overflowPunct/>
        <w:topLinePunct w:val="0"/>
        <w:autoSpaceDE/>
        <w:autoSpaceDN/>
        <w:bidi w:val="0"/>
        <w:spacing w:line="560" w:lineRule="exact"/>
        <w:ind w:firstLine="729" w:firstLineChars="228"/>
        <w:rPr>
          <w:rFonts w:hint="eastAsia" w:ascii="仿宋_GB2312" w:hAnsi="仿宋_GB2312" w:eastAsia="仿宋_GB2312" w:cs="仿宋_GB2312"/>
          <w:b w:val="0"/>
          <w:bCs/>
          <w:sz w:val="32"/>
          <w:szCs w:val="32"/>
          <w:highlight w:val="none"/>
        </w:rPr>
      </w:pPr>
    </w:p>
    <w:p w14:paraId="5D66555B">
      <w:pPr>
        <w:pageBreakBefore w:val="0"/>
        <w:kinsoku/>
        <w:overflowPunct/>
        <w:topLinePunct w:val="0"/>
        <w:autoSpaceDE/>
        <w:autoSpaceDN/>
        <w:bidi w:val="0"/>
        <w:spacing w:line="560" w:lineRule="exact"/>
        <w:jc w:val="left"/>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甲方：                          乙方：</w:t>
      </w:r>
    </w:p>
    <w:p w14:paraId="556FB743">
      <w:pPr>
        <w:pageBreakBefore w:val="0"/>
        <w:kinsoku/>
        <w:overflowPunct/>
        <w:topLinePunct w:val="0"/>
        <w:autoSpaceDE/>
        <w:autoSpaceDN/>
        <w:bidi w:val="0"/>
        <w:spacing w:line="560" w:lineRule="exact"/>
        <w:jc w:val="left"/>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盖章：                          盖章：</w:t>
      </w:r>
    </w:p>
    <w:p w14:paraId="5C634BBC">
      <w:pPr>
        <w:pageBreakBefore w:val="0"/>
        <w:kinsoku/>
        <w:overflowPunct/>
        <w:topLinePunct w:val="0"/>
        <w:autoSpaceDE/>
        <w:autoSpaceDN/>
        <w:bidi w:val="0"/>
        <w:spacing w:line="560" w:lineRule="exact"/>
        <w:jc w:val="left"/>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rPr>
        <w:t>负责人签字：                    负责人签字</w:t>
      </w:r>
      <w:r>
        <w:rPr>
          <w:rFonts w:hint="eastAsia" w:ascii="仿宋_GB2312" w:hAnsi="仿宋_GB2312" w:eastAsia="仿宋_GB2312" w:cs="仿宋_GB2312"/>
          <w:b w:val="0"/>
          <w:bCs/>
          <w:sz w:val="32"/>
          <w:szCs w:val="32"/>
          <w:highlight w:val="none"/>
          <w:lang w:val="en-US" w:eastAsia="zh-CN"/>
        </w:rPr>
        <w:t>:</w:t>
      </w:r>
    </w:p>
    <w:p w14:paraId="64E809CA">
      <w:pPr>
        <w:pageBreakBefore w:val="0"/>
        <w:kinsoku/>
        <w:overflowPunct/>
        <w:topLinePunct w:val="0"/>
        <w:autoSpaceDE/>
        <w:autoSpaceDN/>
        <w:bidi w:val="0"/>
        <w:spacing w:line="560" w:lineRule="exact"/>
        <w:jc w:val="left"/>
        <w:rPr>
          <w:rFonts w:hint="eastAsia" w:ascii="仿宋" w:hAnsi="仿宋" w:eastAsia="仿宋" w:cs="仿宋"/>
          <w:b w:val="0"/>
          <w:bCs/>
          <w:sz w:val="32"/>
          <w:szCs w:val="32"/>
          <w:highlight w:val="none"/>
        </w:rPr>
      </w:pPr>
      <w:r>
        <w:rPr>
          <w:rFonts w:hint="eastAsia" w:ascii="仿宋_GB2312" w:hAnsi="仿宋_GB2312" w:eastAsia="仿宋_GB2312" w:cs="仿宋_GB2312"/>
          <w:b w:val="0"/>
          <w:bCs/>
          <w:sz w:val="32"/>
          <w:szCs w:val="32"/>
          <w:highlight w:val="none"/>
        </w:rPr>
        <w:t>日期:                           日期：</w:t>
      </w:r>
      <w:r>
        <w:rPr>
          <w:rFonts w:hint="eastAsia" w:ascii="仿宋" w:hAnsi="仿宋" w:eastAsia="仿宋" w:cs="仿宋"/>
          <w:b w:val="0"/>
          <w:bCs/>
          <w:sz w:val="32"/>
          <w:szCs w:val="32"/>
          <w:highlight w:val="none"/>
        </w:rPr>
        <w:br w:type="page"/>
      </w:r>
    </w:p>
    <w:p w14:paraId="142D5FCD">
      <w:pPr>
        <w:spacing w:line="240" w:lineRule="exact"/>
        <w:rPr>
          <w:rFonts w:ascii="仿宋" w:hAnsi="仿宋" w:eastAsia="仿宋" w:cs="仿宋"/>
          <w:szCs w:val="21"/>
        </w:rPr>
      </w:pPr>
      <w:r>
        <w:rPr>
          <w:rFonts w:hint="eastAsia" w:ascii="仿宋" w:hAnsi="仿宋" w:eastAsia="仿宋" w:cs="仿宋"/>
          <w:szCs w:val="21"/>
        </w:rPr>
        <w:t>采购合同附件1：</w:t>
      </w:r>
    </w:p>
    <w:p w14:paraId="786EA278">
      <w:pPr>
        <w:widowControl w:val="0"/>
        <w:spacing w:line="400" w:lineRule="exact"/>
        <w:ind w:right="-512" w:rightChars="-244" w:firstLine="2880" w:firstLineChars="80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供需双方廉洁互保协议</w:t>
      </w:r>
    </w:p>
    <w:p w14:paraId="11E1888D">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u w:val="thick"/>
        </w:rPr>
      </w:pPr>
      <w:r>
        <w:rPr>
          <w:rFonts w:hint="eastAsia" w:ascii="仿宋" w:hAnsi="仿宋" w:eastAsia="仿宋" w:cs="仿宋"/>
          <w:sz w:val="24"/>
        </w:rPr>
        <w:t>甲方：</w:t>
      </w:r>
      <w:r>
        <w:rPr>
          <w:rFonts w:hint="eastAsia" w:ascii="仿宋" w:hAnsi="仿宋" w:eastAsia="仿宋" w:cs="仿宋"/>
          <w:sz w:val="24"/>
          <w:u w:val="single"/>
        </w:rPr>
        <w:t>深圳市鹏劳人力资源管理有限公司</w:t>
      </w:r>
    </w:p>
    <w:p w14:paraId="6CA9F849">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u w:val="thick"/>
        </w:rPr>
      </w:pPr>
      <w:r>
        <w:rPr>
          <w:rFonts w:hint="eastAsia" w:ascii="仿宋" w:hAnsi="仿宋" w:eastAsia="仿宋" w:cs="仿宋"/>
          <w:sz w:val="24"/>
        </w:rPr>
        <w:t>乙方：</w:t>
      </w:r>
      <w:r>
        <w:rPr>
          <w:rFonts w:hint="eastAsia" w:ascii="仿宋" w:hAnsi="仿宋" w:eastAsia="仿宋" w:cs="仿宋"/>
          <w:sz w:val="24"/>
          <w:u w:val="single"/>
        </w:rPr>
        <w:t xml:space="preserve">                             </w:t>
      </w:r>
    </w:p>
    <w:p w14:paraId="32E6D0EC">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为规范双方业务往来活动，建立诚实守信的商务合作关系，共同维护双方合法权益，防止违规违纪行为发生，经友好协商，双方就业务往来中的廉洁事宜达成此互保协议。</w:t>
      </w:r>
    </w:p>
    <w:p w14:paraId="7D985179">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黑体" w:hAnsi="黑体" w:eastAsia="黑体" w:cs="黑体"/>
          <w:sz w:val="24"/>
        </w:rPr>
      </w:pPr>
      <w:r>
        <w:rPr>
          <w:rFonts w:hint="eastAsia" w:ascii="黑体" w:hAnsi="黑体" w:eastAsia="黑体" w:cs="黑体"/>
          <w:sz w:val="24"/>
        </w:rPr>
        <w:t>第一条 甲乙双方共同的权利和义务：</w:t>
      </w:r>
    </w:p>
    <w:p w14:paraId="45400B6B">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1.严格遵守国家有关法律法规，坚持诚实守信原则，恪守商业道德，规范商务人员廉洁从业行为；</w:t>
      </w:r>
    </w:p>
    <w:p w14:paraId="4D26C710">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2.双方业务活动坚持公开、公正、诚信、透明的原则（商业秘密和合同文件另有规定的除外），不得损害国家和对方利益；</w:t>
      </w:r>
    </w:p>
    <w:p w14:paraId="2F1E5DF3">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3.发现对方工作人员在业务活动中有违反廉洁规定的行为，有及时要求对方纠正并向对方举报的权利和义务；涉嫌违法的，可以依法向有关部门举报；</w:t>
      </w:r>
    </w:p>
    <w:p w14:paraId="7F94B002">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4.对涉嫌不廉洁的商业行为进行调查时，双方有相互配合、提供证据、作证的义务；</w:t>
      </w:r>
    </w:p>
    <w:p w14:paraId="4AD0BEAF">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 xml:space="preserve">5.双方应依法保护举报人员，不得以任何方式对举报人员进行打击报复。 </w:t>
      </w:r>
    </w:p>
    <w:p w14:paraId="19401079">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黑体" w:hAnsi="黑体" w:eastAsia="黑体" w:cs="黑体"/>
          <w:sz w:val="24"/>
        </w:rPr>
      </w:pPr>
      <w:r>
        <w:rPr>
          <w:rFonts w:hint="eastAsia" w:ascii="黑体" w:hAnsi="黑体" w:eastAsia="黑体" w:cs="黑体"/>
          <w:sz w:val="24"/>
        </w:rPr>
        <w:t>第二条 甲方的廉洁责任：</w:t>
      </w:r>
    </w:p>
    <w:p w14:paraId="6E86A445">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1.甲方工作人员不得以任何形式索要或接受乙方的礼金、礼品和有价证券，不得在乙方报销任何应由个人支付的各种费用；</w:t>
      </w:r>
    </w:p>
    <w:p w14:paraId="4E1112CD">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2.甲方工作人员不得私自参加乙方安排的宴请，不得私自接受乙方提供的通讯、交通工具和办公用品，不得向乙方泄露谈判中的商业秘密；</w:t>
      </w:r>
    </w:p>
    <w:p w14:paraId="7004EFF6">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3.甲方工作人员不得要求或者接受乙方以住房装修、婚丧嫁娶、家属及其他亲属的工作安排、出国出境、旅游等为理由所提供的方便；</w:t>
      </w:r>
    </w:p>
    <w:p w14:paraId="33144D9C">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4.甲方工作人员不得以任何理由向乙方推荐物资供应单位、工程承包或劳务分包单位，合同另有约定的除外；</w:t>
      </w:r>
    </w:p>
    <w:p w14:paraId="29BB6C4B">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5.其它违反廉洁规定的行为。</w:t>
      </w:r>
    </w:p>
    <w:p w14:paraId="7C1CBBC8">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黑体" w:hAnsi="黑体" w:eastAsia="黑体" w:cs="黑体"/>
          <w:sz w:val="24"/>
        </w:rPr>
      </w:pPr>
      <w:r>
        <w:rPr>
          <w:rFonts w:hint="eastAsia" w:ascii="黑体" w:hAnsi="黑体" w:eastAsia="黑体" w:cs="黑体"/>
          <w:sz w:val="24"/>
        </w:rPr>
        <w:t>第三条 乙方的廉洁责任：</w:t>
      </w:r>
    </w:p>
    <w:p w14:paraId="790E240B">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1.乙方及其工作人员不得为甲方工作人员提供回扣、礼金、有价证券、贵重物品和报销个人费用；</w:t>
      </w:r>
    </w:p>
    <w:p w14:paraId="1F9177C4">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2.乙方及其工作人员不得为甲方工作人员安排有可能影响公平、公正交易的宴请、健身、娱乐等活动；</w:t>
      </w:r>
    </w:p>
    <w:p w14:paraId="413F5B70">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3.乙方及其工作人员不得为甲方工作人员投资入股、个人借款或买卖股票、债券、购买或装修住房、婚丧嫁娶、配偶子女上学或工作安排以及出国出境、旅游等提供方便；</w:t>
      </w:r>
    </w:p>
    <w:p w14:paraId="699EB415">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4.乙方及其工作人员不得为甲方工作人员在其相关企业挂名兼职、合伙经营、介绍承揽业务等提供方便；</w:t>
      </w:r>
    </w:p>
    <w:p w14:paraId="66998585">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5.其它违反廉洁规定的行为。</w:t>
      </w:r>
    </w:p>
    <w:p w14:paraId="7D50ED44">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黑体" w:hAnsi="黑体" w:eastAsia="黑体" w:cs="黑体"/>
          <w:sz w:val="24"/>
        </w:rPr>
        <w:t>第四条</w:t>
      </w:r>
      <w:r>
        <w:rPr>
          <w:rFonts w:hint="eastAsia" w:ascii="仿宋" w:hAnsi="仿宋" w:eastAsia="仿宋" w:cs="仿宋"/>
          <w:sz w:val="24"/>
        </w:rPr>
        <w:t xml:space="preserve"> 甲方工作人员有违反本协议行为的，甲方应按照干部管理权限，依据有关规定给予相应党政纪处分、组织处理或经济处罚；涉嫌犯罪的，移交司法机关追究法律责任。</w:t>
      </w:r>
    </w:p>
    <w:p w14:paraId="1E6E4031">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黑体" w:hAnsi="黑体" w:eastAsia="黑体" w:cs="黑体"/>
          <w:sz w:val="24"/>
        </w:rPr>
        <w:t xml:space="preserve">第五条 </w:t>
      </w:r>
      <w:r>
        <w:rPr>
          <w:rFonts w:hint="eastAsia" w:ascii="仿宋" w:hAnsi="仿宋" w:eastAsia="仿宋" w:cs="仿宋"/>
          <w:sz w:val="24"/>
        </w:rPr>
        <w:t>乙方及其工作人员有违反本协议行为的，甲方有权根据情节和所造成的影响采取以下相应措施：</w:t>
      </w:r>
    </w:p>
    <w:p w14:paraId="72D472CE">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1.情节轻微的，要求乙方对相关工作人员进行处分处理，并限期整改；</w:t>
      </w:r>
    </w:p>
    <w:p w14:paraId="4F532B11">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仿宋" w:hAnsi="仿宋" w:eastAsia="仿宋" w:cs="仿宋"/>
          <w:sz w:val="24"/>
        </w:rPr>
        <w:t>2.致甲方工作人员受到组织处理、纪律处分或构成违法犯罪的，给甲方造成重大社会影响或重大经济损失的，甲方有权解除双方尚未履行完毕的业务合同，暂停支付合同未结算款项，甲方遭受的损失由乙方负责赔偿，乙方因甲方解除合同产生的损失由乙方自行承担，列入永久禁入深圳市鹏劳人力资源管理有限公司市场黑名单。</w:t>
      </w:r>
    </w:p>
    <w:p w14:paraId="671202CC">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黑体" w:hAnsi="黑体" w:eastAsia="黑体" w:cs="黑体"/>
          <w:sz w:val="24"/>
        </w:rPr>
        <w:t xml:space="preserve">第六条 </w:t>
      </w:r>
      <w:r>
        <w:rPr>
          <w:rFonts w:hint="eastAsia" w:ascii="仿宋" w:hAnsi="仿宋" w:eastAsia="仿宋" w:cs="仿宋"/>
          <w:sz w:val="24"/>
        </w:rPr>
        <w:t>本协议作为双方签订《深圳市鹏劳人力资源管理有限公司202</w:t>
      </w:r>
      <w:r>
        <w:rPr>
          <w:rFonts w:hint="eastAsia" w:ascii="仿宋" w:hAnsi="仿宋" w:eastAsia="仿宋" w:cs="仿宋"/>
          <w:sz w:val="24"/>
          <w:lang w:val="en-US" w:eastAsia="zh-CN"/>
        </w:rPr>
        <w:t>5</w:t>
      </w:r>
      <w:r>
        <w:rPr>
          <w:rFonts w:hint="eastAsia" w:ascii="仿宋" w:hAnsi="仿宋" w:eastAsia="仿宋" w:cs="仿宋"/>
          <w:sz w:val="24"/>
        </w:rPr>
        <w:t>年</w:t>
      </w:r>
      <w:r>
        <w:rPr>
          <w:rFonts w:hint="eastAsia" w:ascii="仿宋" w:hAnsi="仿宋" w:eastAsia="仿宋" w:cs="仿宋"/>
          <w:sz w:val="24"/>
          <w:lang w:val="en-US" w:eastAsia="zh-CN"/>
        </w:rPr>
        <w:t>员工健康体检</w:t>
      </w:r>
      <w:r>
        <w:rPr>
          <w:rFonts w:hint="eastAsia" w:ascii="仿宋" w:hAnsi="仿宋" w:eastAsia="仿宋" w:cs="仿宋"/>
          <w:sz w:val="24"/>
        </w:rPr>
        <w:t>项目</w:t>
      </w:r>
      <w:r>
        <w:rPr>
          <w:rFonts w:hint="eastAsia" w:ascii="仿宋" w:hAnsi="仿宋" w:eastAsia="仿宋" w:cs="仿宋"/>
          <w:sz w:val="24"/>
          <w:lang w:val="en-US" w:eastAsia="zh-CN"/>
        </w:rPr>
        <w:t>合同</w:t>
      </w:r>
      <w:r>
        <w:rPr>
          <w:rFonts w:hint="eastAsia" w:ascii="仿宋" w:hAnsi="仿宋" w:eastAsia="仿宋" w:cs="仿宋"/>
          <w:sz w:val="24"/>
        </w:rPr>
        <w:t>》的组成部分，与《深圳市鹏劳人力资源管理有限公司202</w:t>
      </w:r>
      <w:r>
        <w:rPr>
          <w:rFonts w:hint="eastAsia" w:ascii="仿宋" w:hAnsi="仿宋" w:eastAsia="仿宋" w:cs="仿宋"/>
          <w:sz w:val="24"/>
          <w:lang w:val="en-US" w:eastAsia="zh-CN"/>
        </w:rPr>
        <w:t>5</w:t>
      </w:r>
      <w:r>
        <w:rPr>
          <w:rFonts w:hint="eastAsia" w:ascii="仿宋" w:hAnsi="仿宋" w:eastAsia="仿宋" w:cs="仿宋"/>
          <w:sz w:val="24"/>
        </w:rPr>
        <w:t>年员工</w:t>
      </w:r>
      <w:r>
        <w:rPr>
          <w:rFonts w:hint="eastAsia" w:ascii="仿宋" w:hAnsi="仿宋" w:eastAsia="仿宋" w:cs="仿宋"/>
          <w:sz w:val="24"/>
          <w:lang w:val="en-US" w:eastAsia="zh-CN"/>
        </w:rPr>
        <w:t>健康体检项目</w:t>
      </w:r>
      <w:r>
        <w:rPr>
          <w:rFonts w:hint="eastAsia" w:ascii="仿宋" w:hAnsi="仿宋" w:eastAsia="仿宋" w:cs="仿宋"/>
          <w:sz w:val="24"/>
        </w:rPr>
        <w:t>合同》具有同等法律效力。</w:t>
      </w:r>
    </w:p>
    <w:p w14:paraId="5F672B73">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r>
        <w:rPr>
          <w:rFonts w:hint="eastAsia" w:ascii="黑体" w:hAnsi="黑体" w:eastAsia="黑体" w:cs="黑体"/>
          <w:sz w:val="24"/>
        </w:rPr>
        <w:t xml:space="preserve">第七条  </w:t>
      </w:r>
      <w:r>
        <w:rPr>
          <w:rFonts w:hint="eastAsia" w:ascii="仿宋" w:hAnsi="仿宋" w:eastAsia="仿宋" w:cs="仿宋"/>
          <w:sz w:val="24"/>
        </w:rPr>
        <w:t>本协议一式三份，甲乙双方各执一份，鹏劳公司纪检委员存档一份，自双方签字盖章之日起生效，有效期与合同履约期一致。</w:t>
      </w:r>
    </w:p>
    <w:p w14:paraId="527181AF">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ascii="仿宋" w:hAnsi="仿宋" w:eastAsia="仿宋" w:cs="仿宋"/>
          <w:sz w:val="24"/>
        </w:rPr>
      </w:pPr>
    </w:p>
    <w:p w14:paraId="2DA61F94">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textAlignment w:val="auto"/>
        <w:rPr>
          <w:rFonts w:ascii="仿宋" w:hAnsi="仿宋" w:eastAsia="仿宋" w:cs="仿宋"/>
          <w:sz w:val="24"/>
        </w:rPr>
      </w:pPr>
      <w:r>
        <w:rPr>
          <w:rFonts w:hint="eastAsia" w:ascii="仿宋" w:hAnsi="仿宋" w:eastAsia="仿宋" w:cs="仿宋"/>
          <w:sz w:val="24"/>
        </w:rPr>
        <w:t>甲方：（盖章）                           乙方：（盖章）</w:t>
      </w:r>
    </w:p>
    <w:p w14:paraId="6EFCEE72">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textAlignment w:val="auto"/>
        <w:rPr>
          <w:rFonts w:ascii="仿宋" w:hAnsi="仿宋" w:eastAsia="仿宋" w:cs="仿宋"/>
          <w:sz w:val="28"/>
          <w:szCs w:val="28"/>
        </w:rPr>
      </w:pPr>
      <w:r>
        <w:rPr>
          <w:rFonts w:hint="eastAsia" w:ascii="仿宋" w:hAnsi="仿宋" w:eastAsia="仿宋" w:cs="仿宋"/>
          <w:sz w:val="24"/>
        </w:rPr>
        <w:t>法定代表人或授权代表：（签字）           法定代表人或授权代表：（签字）   日期：                                   日期：</w:t>
      </w:r>
    </w:p>
    <w:p w14:paraId="3D608303">
      <w:pPr>
        <w:keepNext w:val="0"/>
        <w:keepLines w:val="0"/>
        <w:pageBreakBefore w:val="0"/>
        <w:widowControl w:val="0"/>
        <w:kinsoku/>
        <w:overflowPunct/>
        <w:topLinePunct w:val="0"/>
        <w:autoSpaceDE/>
        <w:autoSpaceDN/>
        <w:bidi w:val="0"/>
        <w:adjustRightInd/>
        <w:snapToGrid/>
        <w:spacing w:line="320" w:lineRule="exact"/>
        <w:ind w:right="0" w:rightChars="0"/>
        <w:textAlignment w:val="auto"/>
        <w:rPr>
          <w:rFonts w:ascii="仿宋" w:hAnsi="仿宋" w:eastAsia="仿宋" w:cs="仿宋"/>
          <w:szCs w:val="21"/>
        </w:rPr>
      </w:pPr>
      <w:r>
        <w:rPr>
          <w:rFonts w:hint="eastAsia" w:ascii="宋体" w:hAnsi="宋体" w:cs="宋体"/>
          <w:b/>
          <w:sz w:val="28"/>
          <w:szCs w:val="28"/>
        </w:rPr>
        <w:br w:type="page"/>
      </w:r>
      <w:r>
        <w:rPr>
          <w:rFonts w:hint="eastAsia" w:ascii="仿宋" w:hAnsi="仿宋" w:eastAsia="仿宋" w:cs="仿宋"/>
          <w:szCs w:val="21"/>
        </w:rPr>
        <w:t>采购合同附件2：</w:t>
      </w:r>
    </w:p>
    <w:p w14:paraId="1E536DD6">
      <w:pPr>
        <w:spacing w:line="400" w:lineRule="exact"/>
        <w:ind w:firstLine="72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深圳市鹏劳人力资源管理有限公司供应商环境及职业健康安全体系符合性承诺书</w:t>
      </w:r>
    </w:p>
    <w:p w14:paraId="016D3727">
      <w:pPr>
        <w:keepNext w:val="0"/>
        <w:keepLines w:val="0"/>
        <w:pageBreakBefore w:val="0"/>
        <w:widowControl w:val="0"/>
        <w:kinsoku/>
        <w:wordWrap/>
        <w:overflowPunct/>
        <w:topLinePunct w:val="0"/>
        <w:autoSpaceDE/>
        <w:autoSpaceDN/>
        <w:bidi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甲方：深圳市鹏劳人力资源管理有限公司</w:t>
      </w:r>
    </w:p>
    <w:p w14:paraId="12CC94E2">
      <w:pPr>
        <w:keepNext w:val="0"/>
        <w:keepLines w:val="0"/>
        <w:pageBreakBefore w:val="0"/>
        <w:widowControl w:val="0"/>
        <w:kinsoku/>
        <w:wordWrap/>
        <w:overflowPunct/>
        <w:topLinePunct w:val="0"/>
        <w:autoSpaceDE/>
        <w:autoSpaceDN/>
        <w:bidi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乙方：</w:t>
      </w:r>
    </w:p>
    <w:p w14:paraId="1929AC7A">
      <w:pPr>
        <w:keepNext w:val="0"/>
        <w:keepLines w:val="0"/>
        <w:pageBreakBefore w:val="0"/>
        <w:widowControl w:val="0"/>
        <w:kinsoku/>
        <w:wordWrap/>
        <w:overflowPunct/>
        <w:topLinePunct w:val="0"/>
        <w:autoSpaceDE/>
        <w:autoSpaceDN/>
        <w:bidi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作为甲方本项目供应商，乙方就环境及职业健康安全体系符合性相关事宜作出以下承诺，并在合作过程中严格遵守：</w:t>
      </w:r>
    </w:p>
    <w:p w14:paraId="4E0D2D80">
      <w:pPr>
        <w:pStyle w:val="19"/>
        <w:keepNext w:val="0"/>
        <w:keepLines w:val="0"/>
        <w:pageBreakBefore w:val="0"/>
        <w:widowControl w:val="0"/>
        <w:numPr>
          <w:ilvl w:val="0"/>
          <w:numId w:val="13"/>
        </w:numPr>
        <w:kinsoku/>
        <w:wordWrap/>
        <w:overflowPunct/>
        <w:topLinePunct w:val="0"/>
        <w:autoSpaceDE/>
        <w:autoSpaceDN/>
        <w:bidi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乙方承诺，乙方为甲方提供的服务或产品及其全过程符合国家各类法律法规要求、符合ISO14001,45001体系标准的要求，不因服务或产品的提供导致环境污染或关联人员职业健康安全危害；</w:t>
      </w:r>
    </w:p>
    <w:p w14:paraId="3F95BE20">
      <w:pPr>
        <w:pStyle w:val="19"/>
        <w:keepNext w:val="0"/>
        <w:keepLines w:val="0"/>
        <w:pageBreakBefore w:val="0"/>
        <w:widowControl w:val="0"/>
        <w:numPr>
          <w:ilvl w:val="0"/>
          <w:numId w:val="13"/>
        </w:numPr>
        <w:kinsoku/>
        <w:wordWrap/>
        <w:overflowPunct/>
        <w:topLinePunct w:val="0"/>
        <w:autoSpaceDE/>
        <w:autoSpaceDN/>
        <w:bidi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甲方有权就乙方服务或产品及提供服务或产品的人员情况实施观察、监测，如发生可能对甲方人员职业健康安全或甲方经营场所环境安全、关联方环境安全造成不利影响或潜在隐患的，甲方有权对乙方提出改进要求，并由乙方实施改进直至隐患或影响完全消除；</w:t>
      </w:r>
    </w:p>
    <w:p w14:paraId="1C531E64">
      <w:pPr>
        <w:pStyle w:val="19"/>
        <w:keepNext w:val="0"/>
        <w:keepLines w:val="0"/>
        <w:pageBreakBefore w:val="0"/>
        <w:widowControl w:val="0"/>
        <w:numPr>
          <w:ilvl w:val="0"/>
          <w:numId w:val="13"/>
        </w:numPr>
        <w:kinsoku/>
        <w:wordWrap/>
        <w:overflowPunct/>
        <w:topLinePunct w:val="0"/>
        <w:autoSpaceDE/>
        <w:autoSpaceDN/>
        <w:bidi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经甲方书面要求，乙方在5个工作日内未实施有效改善， 经甲方二次排查，其隐患或负面影响仍未消除至合理标准，或整改效果不符合体系标准的，甲方有权即时解除或终止双方合作且不负任何法律和经济责任。</w:t>
      </w:r>
    </w:p>
    <w:p w14:paraId="11069D30">
      <w:pPr>
        <w:pStyle w:val="19"/>
        <w:keepNext w:val="0"/>
        <w:keepLines w:val="0"/>
        <w:pageBreakBefore w:val="0"/>
        <w:widowControl w:val="0"/>
        <w:numPr>
          <w:ilvl w:val="0"/>
          <w:numId w:val="13"/>
        </w:numPr>
        <w:kinsoku/>
        <w:wordWrap/>
        <w:overflowPunct/>
        <w:topLinePunct w:val="0"/>
        <w:autoSpaceDE/>
        <w:autoSpaceDN/>
        <w:bidi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乙方因违反ISO14001、45001体系标准，导致重大负面舆情或主管部门检查严重违规等事项，甲方有权即时解除或终止双方合作且不符任何法律和经济责任。如乙方违反体系标准的事项发生在为甲方提供服务或产品的过程中，给甲方造成经济或商誉损失的，乙方承诺赔偿。</w:t>
      </w:r>
    </w:p>
    <w:p w14:paraId="1486354E">
      <w:pPr>
        <w:pStyle w:val="19"/>
        <w:keepNext w:val="0"/>
        <w:keepLines w:val="0"/>
        <w:pageBreakBefore w:val="0"/>
        <w:widowControl w:val="0"/>
        <w:numPr>
          <w:ilvl w:val="0"/>
          <w:numId w:val="13"/>
        </w:numPr>
        <w:kinsoku/>
        <w:wordWrap/>
        <w:overflowPunct/>
        <w:topLinePunct w:val="0"/>
        <w:autoSpaceDE/>
        <w:autoSpaceDN/>
        <w:bidi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乙方在为甲方提供服务、产品的过程中，应主动、持续改善相关因素，以提升乙方环境安全及职业健康安全管理水平。</w:t>
      </w:r>
    </w:p>
    <w:p w14:paraId="530F53F9">
      <w:pPr>
        <w:pStyle w:val="19"/>
        <w:keepNext w:val="0"/>
        <w:keepLines w:val="0"/>
        <w:pageBreakBefore w:val="0"/>
        <w:widowControl w:val="0"/>
        <w:numPr>
          <w:ilvl w:val="0"/>
          <w:numId w:val="13"/>
        </w:numPr>
        <w:kinsoku/>
        <w:wordWrap/>
        <w:overflowPunct/>
        <w:topLinePunct w:val="0"/>
        <w:autoSpaceDE/>
        <w:autoSpaceDN/>
        <w:bidi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在服务或产品提供过程中，乙方应自觉遵守道路交通规则、有关法律法规，以确保安全、对环境无害、最大程度合理利用和节约的方式妥善处理甲方委托事项或为甲方提供相关产品。</w:t>
      </w:r>
    </w:p>
    <w:p w14:paraId="6F473832">
      <w:pPr>
        <w:pStyle w:val="19"/>
        <w:keepNext w:val="0"/>
        <w:keepLines w:val="0"/>
        <w:pageBreakBefore w:val="0"/>
        <w:widowControl w:val="0"/>
        <w:numPr>
          <w:ilvl w:val="0"/>
          <w:numId w:val="13"/>
        </w:numPr>
        <w:kinsoku/>
        <w:wordWrap/>
        <w:overflowPunct/>
        <w:topLinePunct w:val="0"/>
        <w:autoSpaceDE/>
        <w:autoSpaceDN/>
        <w:bidi w:val="0"/>
        <w:adjustRightInd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乙方对其派出为甲方提供服务或产品转运、递送的人员行为负有约束、规范的责任。如甲方或甲方工作处所物业发现乙方工作人员存在不安全、不环保行为时，甲方有权予以制止，同时，要求乙方更换人员直至其工作行为能够符合甲方要求。</w:t>
      </w:r>
    </w:p>
    <w:p w14:paraId="7F62A7DA">
      <w:pPr>
        <w:pStyle w:val="19"/>
        <w:keepNext w:val="0"/>
        <w:keepLines w:val="0"/>
        <w:pageBreakBefore w:val="0"/>
        <w:widowControl w:val="0"/>
        <w:numPr>
          <w:ilvl w:val="0"/>
          <w:numId w:val="13"/>
        </w:numPr>
        <w:kinsoku/>
        <w:wordWrap/>
        <w:overflowPunct/>
        <w:topLinePunct w:val="0"/>
        <w:autoSpaceDE/>
        <w:autoSpaceDN/>
        <w:bidi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乙方同意，如因疫情、其他自然灾害或重大客观条件变化导致双方合作需要中止以配合国家及地区政府主管部门要求及规定，或服务、供给状态无法满足相关环境、职业健康安全防护的相关政策规定时，乙方将根据甲方合理要求及时调整服务或供给条件以使其符合法律法规或政策要求，并不影响甲方及甲方员工的合同权益。</w:t>
      </w:r>
    </w:p>
    <w:p w14:paraId="381D1320">
      <w:pPr>
        <w:pStyle w:val="19"/>
        <w:keepNext w:val="0"/>
        <w:keepLines w:val="0"/>
        <w:pageBreakBefore w:val="0"/>
        <w:widowControl w:val="0"/>
        <w:numPr>
          <w:ilvl w:val="0"/>
          <w:numId w:val="13"/>
        </w:numPr>
        <w:kinsoku/>
        <w:wordWrap/>
        <w:overflowPunct/>
        <w:topLinePunct w:val="0"/>
        <w:autoSpaceDE/>
        <w:autoSpaceDN/>
        <w:bidi w:val="0"/>
        <w:snapToGrid/>
        <w:spacing w:line="320" w:lineRule="exact"/>
        <w:ind w:firstLine="480" w:firstLineChars="200"/>
        <w:textAlignment w:val="auto"/>
        <w:rPr>
          <w:rFonts w:ascii="仿宋" w:hAnsi="仿宋" w:eastAsia="仿宋"/>
          <w:sz w:val="24"/>
        </w:rPr>
      </w:pPr>
      <w:r>
        <w:rPr>
          <w:rFonts w:hint="eastAsia" w:ascii="仿宋" w:hAnsi="仿宋" w:eastAsia="仿宋"/>
          <w:sz w:val="24"/>
        </w:rPr>
        <w:t>本承诺书作为乙方作为甲方供应商库入库的必要文件，自乙方（承诺方）盖章签字后生效，原件一式两份。如主合同约定与本协议冲突的，以本协议内容为准。</w:t>
      </w:r>
    </w:p>
    <w:p w14:paraId="6FD6C2A8">
      <w:pPr>
        <w:widowControl w:val="0"/>
        <w:spacing w:line="320" w:lineRule="exact"/>
        <w:ind w:left="426" w:firstLine="480"/>
        <w:rPr>
          <w:rFonts w:ascii="仿宋" w:hAnsi="仿宋" w:eastAsia="仿宋"/>
          <w:sz w:val="24"/>
        </w:rPr>
      </w:pPr>
    </w:p>
    <w:p w14:paraId="20705986">
      <w:pPr>
        <w:widowControl w:val="0"/>
        <w:spacing w:line="320" w:lineRule="exact"/>
        <w:ind w:left="426" w:firstLine="480"/>
        <w:rPr>
          <w:rFonts w:ascii="仿宋" w:hAnsi="仿宋" w:eastAsia="仿宋"/>
          <w:sz w:val="24"/>
        </w:rPr>
      </w:pPr>
      <w:r>
        <w:rPr>
          <w:rFonts w:hint="eastAsia" w:ascii="仿宋" w:hAnsi="仿宋" w:eastAsia="仿宋"/>
          <w:sz w:val="24"/>
        </w:rPr>
        <w:t>乙方（承诺方）：_______________________________</w:t>
      </w:r>
    </w:p>
    <w:p w14:paraId="1B0BF301">
      <w:pPr>
        <w:widowControl w:val="0"/>
        <w:spacing w:line="320" w:lineRule="exact"/>
        <w:ind w:left="426" w:firstLine="480"/>
        <w:rPr>
          <w:rFonts w:ascii="仿宋" w:hAnsi="仿宋" w:eastAsia="仿宋"/>
          <w:sz w:val="24"/>
        </w:rPr>
      </w:pPr>
      <w:r>
        <w:rPr>
          <w:rFonts w:hint="eastAsia" w:ascii="仿宋" w:hAnsi="仿宋" w:eastAsia="仿宋"/>
          <w:sz w:val="24"/>
        </w:rPr>
        <w:t>有权签字人：</w:t>
      </w:r>
    </w:p>
    <w:p w14:paraId="50377986">
      <w:pPr>
        <w:widowControl w:val="0"/>
        <w:spacing w:line="320" w:lineRule="exact"/>
        <w:ind w:left="426" w:firstLine="480"/>
        <w:rPr>
          <w:rFonts w:ascii="仿宋" w:hAnsi="仿宋" w:eastAsia="仿宋"/>
          <w:sz w:val="24"/>
        </w:rPr>
      </w:pPr>
      <w:r>
        <w:rPr>
          <w:rFonts w:hint="eastAsia" w:ascii="仿宋" w:hAnsi="仿宋" w:eastAsia="仿宋"/>
          <w:sz w:val="24"/>
        </w:rPr>
        <w:t>日期：</w:t>
      </w:r>
    </w:p>
    <w:p w14:paraId="01EC706A">
      <w:pPr>
        <w:pStyle w:val="3"/>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2"/>
          <w:szCs w:val="32"/>
          <w:highlight w:val="none"/>
        </w:rPr>
      </w:pPr>
      <w:bookmarkStart w:id="53" w:name="_Toc17115"/>
      <w:r>
        <w:rPr>
          <w:rFonts w:hint="eastAsia" w:ascii="黑体" w:hAnsi="黑体" w:eastAsia="黑体" w:cs="黑体"/>
          <w:b w:val="0"/>
          <w:bCs/>
          <w:sz w:val="32"/>
          <w:szCs w:val="32"/>
          <w:highlight w:val="none"/>
        </w:rPr>
        <w:t>第四章 投标文件格式</w:t>
      </w:r>
      <w:bookmarkEnd w:id="52"/>
      <w:bookmarkEnd w:id="53"/>
    </w:p>
    <w:p w14:paraId="74B50C25">
      <w:pPr>
        <w:pStyle w:val="4"/>
        <w:keepNext/>
        <w:keepLines/>
        <w:pageBreakBefore w:val="0"/>
        <w:widowControl w:val="0"/>
        <w:kinsoku/>
        <w:wordWrap/>
        <w:overflowPunct/>
        <w:topLinePunct w:val="0"/>
        <w:autoSpaceDE/>
        <w:autoSpaceDN/>
        <w:bidi w:val="0"/>
        <w:adjustRightInd/>
        <w:snapToGrid/>
        <w:spacing w:before="0" w:after="0" w:line="560" w:lineRule="exact"/>
        <w:ind w:firstLine="0" w:firstLineChars="0"/>
        <w:jc w:val="left"/>
        <w:textAlignment w:val="auto"/>
        <w:rPr>
          <w:rFonts w:hint="eastAsia" w:ascii="仿宋" w:hAnsi="仿宋" w:eastAsia="仿宋" w:cs="仿宋"/>
          <w:b w:val="0"/>
          <w:bCs/>
          <w:sz w:val="24"/>
          <w:szCs w:val="24"/>
          <w:highlight w:val="none"/>
        </w:rPr>
      </w:pPr>
      <w:bookmarkStart w:id="54" w:name="_Toc15150"/>
      <w:bookmarkStart w:id="55" w:name="_Toc27533"/>
      <w:r>
        <w:rPr>
          <w:rFonts w:hint="eastAsia" w:ascii="仿宋" w:hAnsi="仿宋" w:eastAsia="仿宋" w:cs="仿宋"/>
          <w:b w:val="0"/>
          <w:bCs/>
          <w:sz w:val="24"/>
          <w:szCs w:val="24"/>
          <w:highlight w:val="none"/>
        </w:rPr>
        <w:t>格式1：《唱标信封》</w:t>
      </w:r>
      <w:bookmarkEnd w:id="54"/>
      <w:bookmarkEnd w:id="55"/>
    </w:p>
    <w:p w14:paraId="2A142D8C">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14:paraId="68A0643B">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14:paraId="0A8FE9FE">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14:paraId="3C7EA996">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14:paraId="3B56A7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52"/>
          <w:szCs w:val="52"/>
          <w:highlight w:val="none"/>
        </w:rPr>
      </w:pPr>
      <w:r>
        <w:rPr>
          <w:rFonts w:hint="eastAsia" w:ascii="方正小标宋简体" w:hAnsi="方正小标宋简体" w:eastAsia="方正小标宋简体" w:cs="方正小标宋简体"/>
          <w:b w:val="0"/>
          <w:bCs/>
          <w:sz w:val="52"/>
          <w:szCs w:val="52"/>
          <w:highlight w:val="none"/>
        </w:rPr>
        <w:t>唱 标 信 封</w:t>
      </w:r>
    </w:p>
    <w:p w14:paraId="49F767C4">
      <w:pPr>
        <w:pageBreakBefore w:val="0"/>
        <w:kinsoku/>
        <w:overflowPunct/>
        <w:topLinePunct w:val="0"/>
        <w:autoSpaceDE/>
        <w:autoSpaceDN/>
        <w:bidi w:val="0"/>
        <w:spacing w:beforeLines="30" w:line="560" w:lineRule="exact"/>
        <w:rPr>
          <w:rFonts w:hint="eastAsia" w:ascii="仿宋" w:hAnsi="仿宋" w:eastAsia="仿宋" w:cs="仿宋"/>
          <w:b w:val="0"/>
          <w:bCs/>
          <w:sz w:val="32"/>
          <w:szCs w:val="32"/>
          <w:highlight w:val="none"/>
        </w:rPr>
      </w:pPr>
    </w:p>
    <w:p w14:paraId="3AB3CFDD">
      <w:pPr>
        <w:pageBreakBefore w:val="0"/>
        <w:kinsoku/>
        <w:overflowPunct/>
        <w:topLinePunct w:val="0"/>
        <w:autoSpaceDE/>
        <w:autoSpaceDN/>
        <w:bidi w:val="0"/>
        <w:spacing w:beforeLines="30" w:line="560" w:lineRule="exact"/>
        <w:rPr>
          <w:rFonts w:hint="eastAsia" w:ascii="仿宋" w:hAnsi="仿宋" w:eastAsia="仿宋" w:cs="仿宋"/>
          <w:b w:val="0"/>
          <w:bCs/>
          <w:sz w:val="32"/>
          <w:szCs w:val="32"/>
          <w:highlight w:val="none"/>
        </w:rPr>
      </w:pPr>
    </w:p>
    <w:p w14:paraId="4AF6268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仿宋_GB2312"/>
          <w:b w:val="0"/>
          <w:bCs/>
          <w:w w:val="95"/>
          <w:sz w:val="28"/>
          <w:szCs w:val="28"/>
          <w:highlight w:val="none"/>
          <w:lang w:val="en-US" w:eastAsia="zh-CN"/>
        </w:rPr>
      </w:pPr>
      <w:r>
        <w:rPr>
          <w:rFonts w:hint="eastAsia" w:ascii="Times New Roman" w:hAnsi="Times New Roman" w:eastAsia="仿宋_GB2312" w:cs="仿宋_GB2312"/>
          <w:b/>
          <w:bCs w:val="0"/>
          <w:w w:val="95"/>
          <w:sz w:val="28"/>
          <w:szCs w:val="28"/>
          <w:highlight w:val="none"/>
        </w:rPr>
        <w:t>项目名称：</w:t>
      </w:r>
      <w:r>
        <w:rPr>
          <w:rFonts w:hint="eastAsia" w:ascii="Times New Roman" w:hAnsi="Times New Roman" w:eastAsia="仿宋_GB2312" w:cs="仿宋_GB2312"/>
          <w:b w:val="0"/>
          <w:bCs/>
          <w:w w:val="95"/>
          <w:sz w:val="28"/>
          <w:szCs w:val="28"/>
          <w:highlight w:val="none"/>
          <w:u w:val="single"/>
        </w:rPr>
        <w:t>深圳市鹏劳人力资源管理有限公司</w:t>
      </w:r>
      <w:r>
        <w:rPr>
          <w:rFonts w:hint="eastAsia" w:ascii="Times New Roman" w:hAnsi="Times New Roman" w:eastAsia="仿宋_GB2312" w:cs="仿宋_GB2312"/>
          <w:b w:val="0"/>
          <w:bCs/>
          <w:w w:val="95"/>
          <w:sz w:val="28"/>
          <w:szCs w:val="28"/>
          <w:highlight w:val="none"/>
          <w:u w:val="single"/>
          <w:lang w:eastAsia="zh-CN"/>
        </w:rPr>
        <w:t>202</w:t>
      </w:r>
      <w:r>
        <w:rPr>
          <w:rFonts w:hint="eastAsia" w:ascii="Times New Roman" w:hAnsi="Times New Roman" w:eastAsia="仿宋_GB2312" w:cs="仿宋_GB2312"/>
          <w:b w:val="0"/>
          <w:bCs/>
          <w:w w:val="95"/>
          <w:sz w:val="28"/>
          <w:szCs w:val="28"/>
          <w:highlight w:val="none"/>
          <w:u w:val="single"/>
          <w:lang w:val="en-US" w:eastAsia="zh-CN"/>
        </w:rPr>
        <w:t>5</w:t>
      </w:r>
      <w:r>
        <w:rPr>
          <w:rFonts w:hint="eastAsia" w:ascii="Times New Roman" w:hAnsi="Times New Roman" w:eastAsia="仿宋_GB2312" w:cs="仿宋_GB2312"/>
          <w:b w:val="0"/>
          <w:bCs/>
          <w:w w:val="95"/>
          <w:sz w:val="28"/>
          <w:szCs w:val="28"/>
          <w:highlight w:val="none"/>
          <w:u w:val="single"/>
        </w:rPr>
        <w:t>年度员工健康体检</w:t>
      </w:r>
      <w:r>
        <w:rPr>
          <w:rFonts w:hint="eastAsia" w:ascii="Times New Roman" w:hAnsi="Times New Roman" w:eastAsia="仿宋_GB2312" w:cs="仿宋_GB2312"/>
          <w:b w:val="0"/>
          <w:bCs/>
          <w:w w:val="95"/>
          <w:sz w:val="28"/>
          <w:szCs w:val="28"/>
          <w:highlight w:val="none"/>
          <w:u w:val="single"/>
          <w:lang w:val="en-US" w:eastAsia="zh-CN"/>
        </w:rPr>
        <w:t>项目（二次）</w:t>
      </w:r>
    </w:p>
    <w:p w14:paraId="097A31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b w:val="0"/>
          <w:bCs/>
          <w:sz w:val="28"/>
          <w:szCs w:val="28"/>
          <w:highlight w:val="none"/>
          <w:lang w:val="en-US" w:eastAsia="zh-CN"/>
        </w:rPr>
      </w:pPr>
      <w:r>
        <w:rPr>
          <w:rFonts w:hint="eastAsia" w:ascii="Times New Roman" w:hAnsi="Times New Roman" w:eastAsia="仿宋_GB2312" w:cs="仿宋_GB2312"/>
          <w:b/>
          <w:bCs w:val="0"/>
          <w:sz w:val="28"/>
          <w:szCs w:val="28"/>
          <w:highlight w:val="none"/>
        </w:rPr>
        <w:t>招标编号：</w:t>
      </w:r>
      <w:r>
        <w:rPr>
          <w:rFonts w:hint="eastAsia" w:ascii="Times New Roman" w:hAnsi="Times New Roman" w:eastAsia="仿宋_GB2312" w:cs="仿宋_GB2312"/>
          <w:b w:val="0"/>
          <w:bCs/>
          <w:sz w:val="28"/>
          <w:szCs w:val="28"/>
          <w:highlight w:val="none"/>
          <w:u w:val="single"/>
          <w:lang w:val="en-US" w:eastAsia="zh-CN"/>
        </w:rPr>
        <w:t xml:space="preserve"> </w:t>
      </w:r>
      <w:r>
        <w:rPr>
          <w:rFonts w:hint="eastAsia" w:ascii="Times New Roman" w:hAnsi="Times New Roman" w:eastAsia="仿宋_GB2312" w:cs="仿宋_GB2312"/>
          <w:b w:val="0"/>
          <w:bCs/>
          <w:sz w:val="28"/>
          <w:szCs w:val="28"/>
          <w:highlight w:val="none"/>
          <w:u w:val="single"/>
          <w:lang w:eastAsia="zh-CN"/>
        </w:rPr>
        <w:t>PLHR-ZB-FW-20250601</w:t>
      </w:r>
      <w:r>
        <w:rPr>
          <w:rFonts w:hint="eastAsia" w:ascii="Times New Roman" w:hAnsi="Times New Roman" w:eastAsia="仿宋_GB2312" w:cs="仿宋_GB2312"/>
          <w:b w:val="0"/>
          <w:bCs/>
          <w:sz w:val="28"/>
          <w:szCs w:val="28"/>
          <w:highlight w:val="none"/>
          <w:u w:val="single"/>
          <w:lang w:val="en-US" w:eastAsia="zh-CN"/>
        </w:rPr>
        <w:t xml:space="preserve"> </w:t>
      </w:r>
    </w:p>
    <w:p w14:paraId="1C736C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b w:val="0"/>
          <w:bCs/>
          <w:sz w:val="28"/>
          <w:szCs w:val="28"/>
          <w:highlight w:val="none"/>
          <w:u w:val="single"/>
          <w:lang w:val="en-US" w:eastAsia="zh-CN"/>
        </w:rPr>
      </w:pPr>
      <w:r>
        <w:rPr>
          <w:rFonts w:hint="eastAsia" w:ascii="Times New Roman" w:hAnsi="Times New Roman" w:eastAsia="仿宋_GB2312" w:cs="仿宋_GB2312"/>
          <w:b/>
          <w:bCs w:val="0"/>
          <w:sz w:val="28"/>
          <w:szCs w:val="28"/>
          <w:highlight w:val="none"/>
        </w:rPr>
        <w:t>投标人（盖章）：</w:t>
      </w:r>
      <w:r>
        <w:rPr>
          <w:rFonts w:hint="eastAsia" w:ascii="Times New Roman" w:hAnsi="Times New Roman" w:eastAsia="仿宋_GB2312" w:cs="仿宋_GB2312"/>
          <w:b w:val="0"/>
          <w:bCs/>
          <w:sz w:val="28"/>
          <w:szCs w:val="28"/>
          <w:highlight w:val="none"/>
          <w:u w:val="single"/>
          <w:lang w:val="en-US" w:eastAsia="zh-CN"/>
        </w:rPr>
        <w:t xml:space="preserve">                    </w:t>
      </w:r>
    </w:p>
    <w:p w14:paraId="2B3302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b w:val="0"/>
          <w:bCs/>
          <w:sz w:val="28"/>
          <w:szCs w:val="28"/>
          <w:highlight w:val="none"/>
          <w:u w:val="single"/>
          <w:lang w:val="en-US" w:eastAsia="zh-CN"/>
        </w:rPr>
      </w:pPr>
      <w:r>
        <w:rPr>
          <w:rFonts w:hint="eastAsia" w:ascii="Times New Roman" w:hAnsi="Times New Roman" w:eastAsia="仿宋_GB2312" w:cs="仿宋_GB2312"/>
          <w:b/>
          <w:bCs w:val="0"/>
          <w:sz w:val="28"/>
          <w:szCs w:val="28"/>
          <w:highlight w:val="none"/>
        </w:rPr>
        <w:t>法定代表人或授权委托人签字</w:t>
      </w:r>
      <w:r>
        <w:rPr>
          <w:rFonts w:hint="eastAsia" w:ascii="Times New Roman" w:hAnsi="Times New Roman" w:eastAsia="仿宋_GB2312" w:cs="仿宋_GB2312"/>
          <w:b w:val="0"/>
          <w:bCs/>
          <w:sz w:val="28"/>
          <w:szCs w:val="28"/>
          <w:highlight w:val="none"/>
        </w:rPr>
        <w:t>：</w:t>
      </w:r>
      <w:r>
        <w:rPr>
          <w:rFonts w:hint="eastAsia" w:ascii="Times New Roman" w:hAnsi="Times New Roman" w:eastAsia="仿宋_GB2312" w:cs="仿宋_GB2312"/>
          <w:b w:val="0"/>
          <w:bCs/>
          <w:sz w:val="28"/>
          <w:szCs w:val="28"/>
          <w:highlight w:val="none"/>
          <w:u w:val="single"/>
          <w:lang w:val="en-US" w:eastAsia="zh-CN"/>
        </w:rPr>
        <w:t xml:space="preserve">                   </w:t>
      </w:r>
    </w:p>
    <w:p w14:paraId="7ADE12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b w:val="0"/>
          <w:bCs/>
          <w:sz w:val="28"/>
          <w:szCs w:val="28"/>
          <w:highlight w:val="none"/>
        </w:rPr>
      </w:pPr>
      <w:r>
        <w:rPr>
          <w:rFonts w:hint="eastAsia" w:ascii="Times New Roman" w:hAnsi="Times New Roman" w:eastAsia="仿宋_GB2312" w:cs="仿宋_GB2312"/>
          <w:b/>
          <w:bCs w:val="0"/>
          <w:sz w:val="28"/>
          <w:szCs w:val="28"/>
          <w:highlight w:val="none"/>
        </w:rPr>
        <w:t>投标日期：</w:t>
      </w:r>
      <w:r>
        <w:rPr>
          <w:rFonts w:hint="eastAsia" w:ascii="Times New Roman" w:hAnsi="Times New Roman" w:eastAsia="仿宋_GB2312" w:cs="仿宋_GB2312"/>
          <w:b w:val="0"/>
          <w:bCs/>
          <w:sz w:val="28"/>
          <w:szCs w:val="28"/>
          <w:highlight w:val="none"/>
          <w:u w:val="single"/>
          <w:lang w:val="en-US" w:eastAsia="zh-CN"/>
        </w:rPr>
        <w:t xml:space="preserve">          </w:t>
      </w:r>
      <w:r>
        <w:rPr>
          <w:rFonts w:hint="eastAsia" w:ascii="Times New Roman" w:hAnsi="Times New Roman" w:eastAsia="仿宋_GB2312" w:cs="仿宋_GB2312"/>
          <w:b w:val="0"/>
          <w:bCs/>
          <w:sz w:val="28"/>
          <w:szCs w:val="28"/>
          <w:highlight w:val="none"/>
        </w:rPr>
        <w:t>年</w:t>
      </w:r>
      <w:r>
        <w:rPr>
          <w:rFonts w:hint="eastAsia" w:ascii="Times New Roman" w:hAnsi="Times New Roman" w:eastAsia="仿宋_GB2312" w:cs="仿宋_GB2312"/>
          <w:b w:val="0"/>
          <w:bCs/>
          <w:sz w:val="28"/>
          <w:szCs w:val="28"/>
          <w:highlight w:val="none"/>
          <w:u w:val="single"/>
          <w:lang w:val="en-US" w:eastAsia="zh-CN"/>
        </w:rPr>
        <w:t xml:space="preserve">       </w:t>
      </w:r>
      <w:r>
        <w:rPr>
          <w:rFonts w:hint="eastAsia" w:ascii="Times New Roman" w:hAnsi="Times New Roman" w:eastAsia="仿宋_GB2312" w:cs="仿宋_GB2312"/>
          <w:b w:val="0"/>
          <w:bCs/>
          <w:sz w:val="28"/>
          <w:szCs w:val="28"/>
          <w:highlight w:val="none"/>
        </w:rPr>
        <w:t>月</w:t>
      </w:r>
      <w:r>
        <w:rPr>
          <w:rFonts w:hint="eastAsia" w:ascii="Times New Roman" w:hAnsi="Times New Roman" w:eastAsia="仿宋_GB2312" w:cs="仿宋_GB2312"/>
          <w:b w:val="0"/>
          <w:bCs/>
          <w:sz w:val="28"/>
          <w:szCs w:val="28"/>
          <w:highlight w:val="none"/>
          <w:u w:val="single"/>
          <w:lang w:val="en-US" w:eastAsia="zh-CN"/>
        </w:rPr>
        <w:t xml:space="preserve">       </w:t>
      </w:r>
      <w:r>
        <w:rPr>
          <w:rFonts w:hint="eastAsia" w:ascii="Times New Roman" w:hAnsi="Times New Roman" w:eastAsia="仿宋_GB2312" w:cs="仿宋_GB2312"/>
          <w:b w:val="0"/>
          <w:bCs/>
          <w:sz w:val="28"/>
          <w:szCs w:val="28"/>
          <w:highlight w:val="none"/>
        </w:rPr>
        <w:t>日</w:t>
      </w:r>
    </w:p>
    <w:p w14:paraId="0DD1B693">
      <w:pPr>
        <w:pageBreakBefore w:val="0"/>
        <w:kinsoku/>
        <w:overflowPunct/>
        <w:topLinePunct w:val="0"/>
        <w:autoSpaceDE/>
        <w:autoSpaceDN/>
        <w:bidi w:val="0"/>
        <w:spacing w:beforeLines="30" w:line="560" w:lineRule="exact"/>
        <w:rPr>
          <w:rFonts w:hint="eastAsia" w:ascii="Times New Roman" w:hAnsi="Times New Roman" w:eastAsia="仿宋_GB2312" w:cs="仿宋_GB2312"/>
          <w:b w:val="0"/>
          <w:bCs/>
          <w:sz w:val="32"/>
          <w:szCs w:val="32"/>
          <w:highlight w:val="none"/>
        </w:rPr>
      </w:pPr>
    </w:p>
    <w:p w14:paraId="2D5C372D">
      <w:pPr>
        <w:pageBreakBefore w:val="0"/>
        <w:kinsoku/>
        <w:overflowPunct/>
        <w:topLinePunct w:val="0"/>
        <w:autoSpaceDE/>
        <w:autoSpaceDN/>
        <w:bidi w:val="0"/>
        <w:spacing w:beforeLines="30" w:line="560" w:lineRule="exact"/>
        <w:rPr>
          <w:rFonts w:hint="eastAsia" w:ascii="Times New Roman" w:hAnsi="Times New Roman" w:eastAsia="仿宋_GB2312" w:cs="仿宋_GB2312"/>
          <w:b w:val="0"/>
          <w:bCs/>
          <w:sz w:val="32"/>
          <w:szCs w:val="32"/>
          <w:highlight w:val="none"/>
        </w:rPr>
      </w:pPr>
    </w:p>
    <w:p w14:paraId="063420FF">
      <w:pPr>
        <w:pageBreakBefore w:val="0"/>
        <w:kinsoku/>
        <w:overflowPunct/>
        <w:topLinePunct w:val="0"/>
        <w:autoSpaceDE/>
        <w:autoSpaceDN/>
        <w:bidi w:val="0"/>
        <w:spacing w:line="560" w:lineRule="exact"/>
        <w:jc w:val="center"/>
        <w:rPr>
          <w:rFonts w:hint="eastAsia" w:ascii="Times New Roman" w:hAnsi="Times New Roman" w:eastAsia="仿宋_GB2312" w:cs="仿宋_GB2312"/>
          <w:b w:val="0"/>
          <w:bCs/>
          <w:sz w:val="32"/>
          <w:szCs w:val="32"/>
          <w:highlight w:val="none"/>
        </w:rPr>
      </w:pPr>
      <w:r>
        <w:rPr>
          <w:rFonts w:hint="eastAsia" w:ascii="Times New Roman" w:hAnsi="Times New Roman" w:eastAsia="仿宋_GB2312" w:cs="仿宋_GB2312"/>
          <w:b w:val="0"/>
          <w:bCs/>
          <w:sz w:val="32"/>
          <w:szCs w:val="32"/>
          <w:highlight w:val="none"/>
        </w:rPr>
        <w:t>（</w:t>
      </w:r>
      <w:r>
        <w:rPr>
          <w:rFonts w:hint="eastAsia" w:ascii="Times New Roman" w:hAnsi="Times New Roman" w:eastAsia="仿宋_GB2312" w:cs="仿宋_GB2312"/>
          <w:b w:val="0"/>
          <w:bCs/>
          <w:sz w:val="32"/>
          <w:szCs w:val="32"/>
          <w:highlight w:val="none"/>
          <w:lang w:eastAsia="zh-CN"/>
        </w:rPr>
        <w:t>202</w:t>
      </w:r>
      <w:r>
        <w:rPr>
          <w:rFonts w:hint="eastAsia" w:ascii="Times New Roman" w:hAnsi="Times New Roman" w:eastAsia="仿宋_GB2312" w:cs="仿宋_GB2312"/>
          <w:b w:val="0"/>
          <w:bCs/>
          <w:sz w:val="32"/>
          <w:szCs w:val="32"/>
          <w:highlight w:val="none"/>
          <w:lang w:val="en-US" w:eastAsia="zh-CN"/>
        </w:rPr>
        <w:t>5</w:t>
      </w:r>
      <w:r>
        <w:rPr>
          <w:rFonts w:hint="eastAsia" w:ascii="Times New Roman" w:hAnsi="Times New Roman" w:eastAsia="仿宋_GB2312" w:cs="仿宋_GB2312"/>
          <w:b w:val="0"/>
          <w:bCs/>
          <w:sz w:val="32"/>
          <w:szCs w:val="32"/>
          <w:highlight w:val="none"/>
        </w:rPr>
        <w:t>年</w:t>
      </w:r>
      <w:r>
        <w:rPr>
          <w:rFonts w:hint="eastAsia" w:ascii="Times New Roman" w:hAnsi="Times New Roman" w:eastAsia="仿宋_GB2312" w:cs="仿宋_GB2312"/>
          <w:b w:val="0"/>
          <w:bCs/>
          <w:sz w:val="32"/>
          <w:szCs w:val="32"/>
          <w:highlight w:val="none"/>
          <w:lang w:val="en-US" w:eastAsia="zh-CN"/>
        </w:rPr>
        <w:t>9</w:t>
      </w:r>
      <w:r>
        <w:rPr>
          <w:rFonts w:hint="eastAsia" w:ascii="Times New Roman" w:hAnsi="Times New Roman" w:eastAsia="仿宋_GB2312" w:cs="仿宋_GB2312"/>
          <w:b w:val="0"/>
          <w:bCs/>
          <w:sz w:val="32"/>
          <w:szCs w:val="32"/>
          <w:highlight w:val="none"/>
        </w:rPr>
        <w:t>月</w:t>
      </w:r>
      <w:r>
        <w:rPr>
          <w:rFonts w:hint="eastAsia" w:ascii="Times New Roman" w:hAnsi="Times New Roman" w:eastAsia="仿宋_GB2312" w:cs="仿宋_GB2312"/>
          <w:b w:val="0"/>
          <w:bCs/>
          <w:sz w:val="32"/>
          <w:szCs w:val="32"/>
          <w:highlight w:val="none"/>
          <w:lang w:val="en-US" w:eastAsia="zh-CN"/>
        </w:rPr>
        <w:t>1</w:t>
      </w:r>
      <w:r>
        <w:rPr>
          <w:rFonts w:hint="eastAsia" w:ascii="Times New Roman" w:hAnsi="Times New Roman" w:eastAsia="仿宋_GB2312" w:cs="仿宋_GB2312"/>
          <w:b w:val="0"/>
          <w:bCs/>
          <w:sz w:val="32"/>
          <w:szCs w:val="32"/>
          <w:highlight w:val="none"/>
        </w:rPr>
        <w:t>日</w:t>
      </w:r>
      <w:r>
        <w:rPr>
          <w:rFonts w:hint="eastAsia" w:ascii="Times New Roman" w:hAnsi="Times New Roman" w:eastAsia="仿宋_GB2312" w:cs="仿宋_GB2312"/>
          <w:b w:val="0"/>
          <w:bCs/>
          <w:sz w:val="32"/>
          <w:szCs w:val="32"/>
          <w:highlight w:val="none"/>
          <w:lang w:val="en-US" w:eastAsia="zh-CN"/>
        </w:rPr>
        <w:t>9</w:t>
      </w:r>
      <w:r>
        <w:rPr>
          <w:rFonts w:hint="eastAsia" w:ascii="Times New Roman" w:hAnsi="Times New Roman" w:eastAsia="仿宋_GB2312" w:cs="仿宋_GB2312"/>
          <w:b w:val="0"/>
          <w:bCs/>
          <w:sz w:val="32"/>
          <w:szCs w:val="32"/>
          <w:highlight w:val="none"/>
        </w:rPr>
        <w:t>时</w:t>
      </w:r>
      <w:r>
        <w:rPr>
          <w:rFonts w:hint="eastAsia" w:ascii="Times New Roman" w:hAnsi="Times New Roman" w:eastAsia="仿宋_GB2312" w:cs="仿宋_GB2312"/>
          <w:b w:val="0"/>
          <w:bCs/>
          <w:sz w:val="32"/>
          <w:szCs w:val="32"/>
          <w:highlight w:val="none"/>
          <w:lang w:val="en-US" w:eastAsia="zh-CN"/>
        </w:rPr>
        <w:t>30</w:t>
      </w:r>
      <w:r>
        <w:rPr>
          <w:rFonts w:hint="eastAsia" w:ascii="Times New Roman" w:hAnsi="Times New Roman" w:eastAsia="仿宋_GB2312" w:cs="仿宋_GB2312"/>
          <w:b w:val="0"/>
          <w:bCs/>
          <w:sz w:val="32"/>
          <w:szCs w:val="32"/>
          <w:highlight w:val="none"/>
        </w:rPr>
        <w:t>分前不得开启）</w:t>
      </w:r>
    </w:p>
    <w:p w14:paraId="239538AE">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14:paraId="22490450">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14:paraId="17A88558">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14:paraId="4AC35025">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14:paraId="13696CCF">
      <w:pPr>
        <w:pStyle w:val="4"/>
        <w:pageBreakBefore w:val="0"/>
        <w:widowControl w:val="0"/>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 w:hAnsi="仿宋" w:eastAsia="仿宋" w:cs="仿宋"/>
          <w:b w:val="0"/>
          <w:bCs/>
          <w:sz w:val="24"/>
          <w:szCs w:val="24"/>
          <w:highlight w:val="none"/>
        </w:rPr>
      </w:pPr>
      <w:bookmarkStart w:id="56" w:name="_Toc23060"/>
      <w:bookmarkStart w:id="57" w:name="_Toc11637"/>
      <w:r>
        <w:rPr>
          <w:rFonts w:hint="eastAsia" w:ascii="仿宋" w:hAnsi="仿宋" w:eastAsia="仿宋" w:cs="仿宋"/>
          <w:b w:val="0"/>
          <w:bCs/>
          <w:sz w:val="24"/>
          <w:szCs w:val="24"/>
          <w:highlight w:val="none"/>
        </w:rPr>
        <w:t>格式2：开标一览表</w:t>
      </w:r>
      <w:bookmarkEnd w:id="56"/>
      <w:bookmarkEnd w:id="57"/>
    </w:p>
    <w:p w14:paraId="6341D456">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0"/>
          <w:szCs w:val="40"/>
          <w:highlight w:val="none"/>
        </w:rPr>
      </w:pPr>
      <w:r>
        <w:rPr>
          <w:rFonts w:hint="eastAsia" w:ascii="方正小标宋简体" w:hAnsi="方正小标宋简体" w:eastAsia="方正小标宋简体" w:cs="方正小标宋简体"/>
          <w:b w:val="0"/>
          <w:bCs/>
          <w:sz w:val="40"/>
          <w:szCs w:val="40"/>
          <w:highlight w:val="none"/>
        </w:rPr>
        <w:t>开标一览表</w:t>
      </w:r>
    </w:p>
    <w:p w14:paraId="4575A42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24"/>
          <w:szCs w:val="24"/>
          <w:highlight w:val="none"/>
        </w:rPr>
      </w:pPr>
    </w:p>
    <w:p w14:paraId="44FFDCA4">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Times New Roman" w:hAnsi="Times New Roman" w:eastAsia="仿宋_GB2312" w:cs="仿宋_GB2312"/>
          <w:b w:val="0"/>
          <w:bCs/>
          <w:sz w:val="24"/>
          <w:szCs w:val="24"/>
          <w:highlight w:val="none"/>
        </w:rPr>
      </w:pPr>
      <w:r>
        <w:rPr>
          <w:rFonts w:hint="eastAsia" w:ascii="Times New Roman" w:hAnsi="Times New Roman" w:eastAsia="仿宋_GB2312" w:cs="仿宋_GB2312"/>
          <w:b w:val="0"/>
          <w:bCs/>
          <w:sz w:val="24"/>
          <w:szCs w:val="24"/>
          <w:highlight w:val="none"/>
        </w:rPr>
        <w:t>致：深圳市鹏劳人力资源管理有限公司</w:t>
      </w:r>
    </w:p>
    <w:p w14:paraId="06B3C3BC">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Times New Roman" w:hAnsi="Times New Roman" w:eastAsia="仿宋_GB2312" w:cs="仿宋_GB2312"/>
          <w:b w:val="0"/>
          <w:bCs/>
          <w:sz w:val="24"/>
          <w:szCs w:val="24"/>
          <w:highlight w:val="none"/>
        </w:rPr>
      </w:pPr>
      <w:r>
        <w:rPr>
          <w:rFonts w:hint="eastAsia" w:ascii="Times New Roman" w:hAnsi="Times New Roman" w:eastAsia="仿宋_GB2312" w:cs="仿宋_GB2312"/>
          <w:b w:val="0"/>
          <w:bCs/>
          <w:sz w:val="24"/>
          <w:szCs w:val="24"/>
          <w:highlight w:val="none"/>
          <w:lang w:val="en-US" w:eastAsia="zh-CN"/>
        </w:rPr>
        <w:t>2025年度</w:t>
      </w:r>
      <w:r>
        <w:rPr>
          <w:rFonts w:hint="eastAsia" w:ascii="Times New Roman" w:hAnsi="Times New Roman" w:eastAsia="仿宋_GB2312" w:cs="仿宋_GB2312"/>
          <w:b w:val="0"/>
          <w:bCs/>
          <w:sz w:val="24"/>
          <w:szCs w:val="24"/>
          <w:highlight w:val="none"/>
          <w:lang w:eastAsia="zh-CN"/>
        </w:rPr>
        <w:t>员工</w:t>
      </w:r>
      <w:r>
        <w:rPr>
          <w:rFonts w:hint="eastAsia" w:ascii="Times New Roman" w:hAnsi="Times New Roman" w:eastAsia="仿宋_GB2312" w:cs="仿宋_GB2312"/>
          <w:b w:val="0"/>
          <w:bCs/>
          <w:sz w:val="24"/>
          <w:szCs w:val="24"/>
          <w:highlight w:val="none"/>
          <w:lang w:val="en-US" w:eastAsia="zh-CN"/>
        </w:rPr>
        <w:t>健康</w:t>
      </w:r>
      <w:r>
        <w:rPr>
          <w:rFonts w:hint="eastAsia" w:ascii="Times New Roman" w:hAnsi="Times New Roman" w:eastAsia="仿宋_GB2312" w:cs="仿宋_GB2312"/>
          <w:b w:val="0"/>
          <w:bCs/>
          <w:sz w:val="24"/>
          <w:szCs w:val="24"/>
          <w:highlight w:val="none"/>
        </w:rPr>
        <w:t>体检项目（招标</w:t>
      </w:r>
      <w:r>
        <w:rPr>
          <w:rFonts w:hint="eastAsia" w:ascii="Times New Roman" w:hAnsi="Times New Roman" w:eastAsia="仿宋_GB2312" w:cs="仿宋_GB2312"/>
          <w:b w:val="0"/>
          <w:bCs/>
          <w:sz w:val="24"/>
          <w:szCs w:val="24"/>
          <w:highlight w:val="none"/>
          <w:lang w:val="en-US" w:eastAsia="zh-CN"/>
        </w:rPr>
        <w:t>项目</w:t>
      </w:r>
      <w:r>
        <w:rPr>
          <w:rFonts w:hint="eastAsia" w:ascii="Times New Roman" w:hAnsi="Times New Roman" w:eastAsia="仿宋_GB2312" w:cs="仿宋_GB2312"/>
          <w:b w:val="0"/>
          <w:bCs/>
          <w:sz w:val="24"/>
          <w:szCs w:val="24"/>
          <w:highlight w:val="none"/>
        </w:rPr>
        <w:t>编号：</w:t>
      </w:r>
      <w:r>
        <w:rPr>
          <w:rFonts w:hint="eastAsia" w:ascii="Times New Roman" w:hAnsi="Times New Roman" w:eastAsia="仿宋_GB2312" w:cs="仿宋_GB2312"/>
          <w:b w:val="0"/>
          <w:bCs/>
          <w:sz w:val="24"/>
          <w:szCs w:val="24"/>
          <w:highlight w:val="none"/>
          <w:lang w:eastAsia="zh-CN"/>
        </w:rPr>
        <w:t>PLHR-ZB-FW-20250601</w:t>
      </w:r>
      <w:r>
        <w:rPr>
          <w:rFonts w:hint="eastAsia" w:ascii="Times New Roman" w:hAnsi="Times New Roman" w:eastAsia="仿宋_GB2312" w:cs="仿宋_GB2312"/>
          <w:b w:val="0"/>
          <w:bCs/>
          <w:sz w:val="24"/>
          <w:szCs w:val="24"/>
          <w:highlight w:val="none"/>
        </w:rPr>
        <w:t>）投标报价如下</w:t>
      </w:r>
      <w:r>
        <w:rPr>
          <w:rFonts w:hint="eastAsia" w:ascii="Times New Roman" w:hAnsi="Times New Roman" w:eastAsia="仿宋_GB2312" w:cs="仿宋_GB2312"/>
          <w:b w:val="0"/>
          <w:bCs/>
          <w:sz w:val="24"/>
          <w:szCs w:val="24"/>
          <w:highlight w:val="none"/>
          <w:lang w:eastAsia="zh-CN"/>
        </w:rPr>
        <w:t>（</w:t>
      </w:r>
      <w:r>
        <w:rPr>
          <w:rFonts w:hint="eastAsia" w:ascii="Times New Roman" w:hAnsi="Times New Roman" w:eastAsia="仿宋_GB2312" w:cs="仿宋_GB2312"/>
          <w:b w:val="0"/>
          <w:bCs/>
          <w:sz w:val="24"/>
          <w:szCs w:val="24"/>
          <w:highlight w:val="none"/>
          <w:lang w:val="en-US" w:eastAsia="zh-CN"/>
        </w:rPr>
        <w:t>单位：元）</w:t>
      </w:r>
      <w:r>
        <w:rPr>
          <w:rFonts w:hint="eastAsia" w:ascii="Times New Roman" w:hAnsi="Times New Roman" w:eastAsia="仿宋_GB2312" w:cs="仿宋_GB2312"/>
          <w:b w:val="0"/>
          <w:bCs/>
          <w:sz w:val="24"/>
          <w:szCs w:val="24"/>
          <w:highlight w:val="none"/>
        </w:rPr>
        <w:t>：</w:t>
      </w:r>
    </w:p>
    <w:tbl>
      <w:tblPr>
        <w:tblStyle w:val="15"/>
        <w:tblpPr w:leftFromText="180" w:rightFromText="180" w:vertAnchor="text" w:horzAnchor="page" w:tblpXSpec="center" w:tblpY="18"/>
        <w:tblOverlap w:val="never"/>
        <w:tblW w:w="1001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567"/>
        <w:gridCol w:w="3609"/>
        <w:gridCol w:w="1236"/>
        <w:gridCol w:w="1452"/>
        <w:gridCol w:w="1503"/>
        <w:gridCol w:w="1649"/>
      </w:tblGrid>
      <w:tr w14:paraId="5C62AD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43" w:hRule="atLeast"/>
          <w:jc w:val="center"/>
        </w:trPr>
        <w:tc>
          <w:tcPr>
            <w:tcW w:w="567" w:type="dxa"/>
            <w:tcBorders>
              <w:tl2br w:val="nil"/>
              <w:tr2bl w:val="nil"/>
            </w:tcBorders>
            <w:shd w:val="clear" w:color="auto" w:fill="auto"/>
            <w:noWrap/>
            <w:tcMar>
              <w:top w:w="15" w:type="dxa"/>
              <w:left w:w="15" w:type="dxa"/>
              <w:right w:w="15" w:type="dxa"/>
            </w:tcMar>
            <w:vAlign w:val="center"/>
          </w:tcPr>
          <w:p w14:paraId="6C40B6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b/>
                <w:bCs w:val="0"/>
                <w:i w:val="0"/>
                <w:color w:val="000000"/>
                <w:sz w:val="21"/>
                <w:szCs w:val="21"/>
                <w:highlight w:val="none"/>
                <w:u w:val="none"/>
              </w:rPr>
            </w:pPr>
            <w:r>
              <w:rPr>
                <w:rFonts w:hint="eastAsia" w:ascii="Times New Roman" w:hAnsi="Times New Roman" w:eastAsia="宋体" w:cs="宋体"/>
                <w:b/>
                <w:bCs w:val="0"/>
                <w:i w:val="0"/>
                <w:color w:val="000000"/>
                <w:kern w:val="0"/>
                <w:sz w:val="21"/>
                <w:szCs w:val="21"/>
                <w:highlight w:val="none"/>
                <w:u w:val="none"/>
                <w:lang w:val="en-US" w:eastAsia="zh-CN" w:bidi="ar"/>
              </w:rPr>
              <w:t>序号</w:t>
            </w:r>
          </w:p>
        </w:tc>
        <w:tc>
          <w:tcPr>
            <w:tcW w:w="3609" w:type="dxa"/>
            <w:tcBorders>
              <w:tl2br w:val="nil"/>
              <w:tr2bl w:val="nil"/>
            </w:tcBorders>
            <w:shd w:val="clear" w:color="auto" w:fill="auto"/>
            <w:noWrap/>
            <w:tcMar>
              <w:top w:w="15" w:type="dxa"/>
              <w:left w:w="15" w:type="dxa"/>
              <w:right w:w="15" w:type="dxa"/>
            </w:tcMar>
            <w:vAlign w:val="center"/>
          </w:tcPr>
          <w:p w14:paraId="3D5F5344">
            <w:pPr>
              <w:keepNext w:val="0"/>
              <w:keepLines w:val="0"/>
              <w:widowControl/>
              <w:suppressLineNumbers w:val="0"/>
              <w:jc w:val="center"/>
              <w:textAlignment w:val="center"/>
              <w:rPr>
                <w:rFonts w:hint="eastAsia" w:ascii="Times New Roman" w:hAnsi="Times New Roman" w:eastAsia="宋体" w:cs="宋体"/>
                <w:b/>
                <w:bCs w:val="0"/>
                <w:i w:val="0"/>
                <w:iCs w:val="0"/>
                <w:color w:val="000000"/>
                <w:kern w:val="2"/>
                <w:sz w:val="22"/>
                <w:szCs w:val="22"/>
                <w:u w:val="none"/>
                <w:lang w:val="en-US" w:eastAsia="zh-CN" w:bidi="ar-SA"/>
              </w:rPr>
            </w:pPr>
            <w:r>
              <w:rPr>
                <w:rFonts w:hint="eastAsia" w:ascii="Times New Roman" w:hAnsi="Times New Roman" w:eastAsia="宋体" w:cs="宋体"/>
                <w:b/>
                <w:bCs w:val="0"/>
                <w:i w:val="0"/>
                <w:color w:val="000000"/>
                <w:kern w:val="0"/>
                <w:sz w:val="21"/>
                <w:szCs w:val="21"/>
                <w:highlight w:val="none"/>
                <w:u w:val="none"/>
                <w:lang w:val="en-US" w:eastAsia="zh-CN" w:bidi="ar"/>
              </w:rPr>
              <w:t>体检方案</w:t>
            </w:r>
          </w:p>
        </w:tc>
        <w:tc>
          <w:tcPr>
            <w:tcW w:w="1236" w:type="dxa"/>
            <w:tcBorders>
              <w:tl2br w:val="nil"/>
              <w:tr2bl w:val="nil"/>
            </w:tcBorders>
            <w:shd w:val="clear" w:color="auto" w:fill="auto"/>
            <w:noWrap/>
            <w:tcMar>
              <w:top w:w="15" w:type="dxa"/>
              <w:left w:w="15" w:type="dxa"/>
              <w:right w:w="15" w:type="dxa"/>
            </w:tcMar>
            <w:vAlign w:val="center"/>
          </w:tcPr>
          <w:p w14:paraId="2D6BB4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b/>
                <w:bCs w:val="0"/>
                <w:i w:val="0"/>
                <w:color w:val="000000"/>
                <w:kern w:val="0"/>
                <w:sz w:val="21"/>
                <w:szCs w:val="21"/>
                <w:highlight w:val="none"/>
                <w:u w:val="none"/>
                <w:lang w:val="en-US" w:eastAsia="zh-CN" w:bidi="ar"/>
              </w:rPr>
            </w:pPr>
            <w:r>
              <w:rPr>
                <w:rFonts w:hint="eastAsia" w:ascii="Times New Roman" w:hAnsi="Times New Roman" w:eastAsia="宋体" w:cs="宋体"/>
                <w:b/>
                <w:bCs w:val="0"/>
                <w:i w:val="0"/>
                <w:color w:val="000000"/>
                <w:kern w:val="0"/>
                <w:sz w:val="21"/>
                <w:szCs w:val="21"/>
                <w:highlight w:val="none"/>
                <w:u w:val="none"/>
                <w:lang w:val="en-US" w:eastAsia="zh-CN" w:bidi="ar"/>
              </w:rPr>
              <w:t>分项单价</w:t>
            </w:r>
          </w:p>
          <w:p w14:paraId="15AB44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宋体"/>
                <w:b/>
                <w:bCs w:val="0"/>
                <w:i w:val="0"/>
                <w:color w:val="000000"/>
                <w:sz w:val="21"/>
                <w:szCs w:val="21"/>
                <w:highlight w:val="none"/>
                <w:u w:val="none"/>
                <w:lang w:val="en-US"/>
              </w:rPr>
            </w:pPr>
            <w:r>
              <w:rPr>
                <w:rFonts w:hint="eastAsia" w:ascii="Times New Roman" w:hAnsi="Times New Roman" w:eastAsia="宋体" w:cs="宋体"/>
                <w:b/>
                <w:bCs w:val="0"/>
                <w:i w:val="0"/>
                <w:color w:val="000000"/>
                <w:kern w:val="0"/>
                <w:sz w:val="21"/>
                <w:szCs w:val="21"/>
                <w:highlight w:val="none"/>
                <w:u w:val="none"/>
                <w:lang w:val="en-US" w:eastAsia="zh-CN" w:bidi="ar"/>
              </w:rPr>
              <w:t>（含增值税）</w:t>
            </w:r>
          </w:p>
        </w:tc>
        <w:tc>
          <w:tcPr>
            <w:tcW w:w="1452" w:type="dxa"/>
            <w:tcBorders>
              <w:tl2br w:val="nil"/>
              <w:tr2bl w:val="nil"/>
            </w:tcBorders>
            <w:shd w:val="clear" w:color="auto" w:fill="auto"/>
            <w:tcMar>
              <w:top w:w="15" w:type="dxa"/>
              <w:left w:w="15" w:type="dxa"/>
              <w:right w:w="15" w:type="dxa"/>
            </w:tcMar>
            <w:vAlign w:val="center"/>
          </w:tcPr>
          <w:p w14:paraId="3FABF3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b/>
                <w:bCs w:val="0"/>
                <w:i w:val="0"/>
                <w:color w:val="000000"/>
                <w:sz w:val="21"/>
                <w:szCs w:val="21"/>
                <w:highlight w:val="none"/>
                <w:u w:val="none"/>
              </w:rPr>
            </w:pPr>
            <w:r>
              <w:rPr>
                <w:rFonts w:hint="eastAsia" w:ascii="Times New Roman" w:hAnsi="Times New Roman" w:eastAsia="宋体" w:cs="宋体"/>
                <w:b/>
                <w:bCs w:val="0"/>
                <w:i w:val="0"/>
                <w:color w:val="000000"/>
                <w:kern w:val="0"/>
                <w:sz w:val="21"/>
                <w:szCs w:val="21"/>
                <w:highlight w:val="none"/>
                <w:u w:val="none"/>
                <w:lang w:val="en-US" w:eastAsia="zh-CN" w:bidi="ar"/>
              </w:rPr>
              <w:t>计划体检人数           （招标人提供）</w:t>
            </w:r>
          </w:p>
        </w:tc>
        <w:tc>
          <w:tcPr>
            <w:tcW w:w="1503" w:type="dxa"/>
            <w:tcBorders>
              <w:tl2br w:val="nil"/>
              <w:tr2bl w:val="nil"/>
            </w:tcBorders>
            <w:shd w:val="clear" w:color="auto" w:fill="auto"/>
            <w:noWrap/>
            <w:tcMar>
              <w:top w:w="15" w:type="dxa"/>
              <w:left w:w="15" w:type="dxa"/>
              <w:right w:w="15" w:type="dxa"/>
            </w:tcMar>
            <w:vAlign w:val="center"/>
          </w:tcPr>
          <w:p w14:paraId="019A35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宋体"/>
                <w:b/>
                <w:bCs w:val="0"/>
                <w:i w:val="0"/>
                <w:color w:val="000000"/>
                <w:kern w:val="0"/>
                <w:sz w:val="21"/>
                <w:szCs w:val="21"/>
                <w:highlight w:val="none"/>
                <w:u w:val="none"/>
                <w:lang w:val="en-US" w:eastAsia="zh-CN" w:bidi="ar"/>
              </w:rPr>
            </w:pPr>
            <w:r>
              <w:rPr>
                <w:rFonts w:hint="eastAsia" w:ascii="Times New Roman" w:hAnsi="Times New Roman" w:eastAsia="宋体" w:cs="宋体"/>
                <w:b/>
                <w:bCs w:val="0"/>
                <w:i w:val="0"/>
                <w:color w:val="000000"/>
                <w:kern w:val="0"/>
                <w:sz w:val="21"/>
                <w:szCs w:val="21"/>
                <w:highlight w:val="none"/>
                <w:u w:val="none"/>
                <w:lang w:val="en-US" w:eastAsia="zh-CN" w:bidi="ar"/>
              </w:rPr>
              <w:t>分项计价</w:t>
            </w:r>
          </w:p>
          <w:p w14:paraId="2C238E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b/>
                <w:bCs w:val="0"/>
                <w:i w:val="0"/>
                <w:color w:val="000000"/>
                <w:kern w:val="0"/>
                <w:sz w:val="21"/>
                <w:szCs w:val="21"/>
                <w:highlight w:val="none"/>
                <w:u w:val="none"/>
                <w:lang w:val="en-US" w:eastAsia="zh-CN" w:bidi="ar"/>
              </w:rPr>
            </w:pPr>
            <w:r>
              <w:rPr>
                <w:rFonts w:hint="eastAsia" w:ascii="Times New Roman" w:hAnsi="Times New Roman" w:eastAsia="宋体" w:cs="宋体"/>
                <w:b/>
                <w:bCs w:val="0"/>
                <w:i w:val="0"/>
                <w:color w:val="000000"/>
                <w:kern w:val="0"/>
                <w:sz w:val="21"/>
                <w:szCs w:val="21"/>
                <w:highlight w:val="none"/>
                <w:u w:val="none"/>
                <w:lang w:val="en-US" w:eastAsia="zh-CN" w:bidi="ar"/>
              </w:rPr>
              <w:t>（含增值税）</w:t>
            </w:r>
          </w:p>
        </w:tc>
        <w:tc>
          <w:tcPr>
            <w:tcW w:w="1649" w:type="dxa"/>
            <w:tcBorders>
              <w:tl2br w:val="nil"/>
              <w:tr2bl w:val="nil"/>
            </w:tcBorders>
            <w:shd w:val="clear" w:color="auto" w:fill="auto"/>
            <w:noWrap/>
            <w:tcMar>
              <w:top w:w="15" w:type="dxa"/>
              <w:left w:w="15" w:type="dxa"/>
              <w:right w:w="15" w:type="dxa"/>
            </w:tcMar>
            <w:vAlign w:val="center"/>
          </w:tcPr>
          <w:p w14:paraId="69AAE9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b/>
                <w:bCs w:val="0"/>
                <w:i w:val="0"/>
                <w:color w:val="000000"/>
                <w:sz w:val="21"/>
                <w:szCs w:val="21"/>
                <w:highlight w:val="none"/>
                <w:u w:val="none"/>
              </w:rPr>
            </w:pPr>
            <w:r>
              <w:rPr>
                <w:rFonts w:hint="eastAsia" w:ascii="Times New Roman" w:hAnsi="Times New Roman" w:eastAsia="宋体" w:cs="宋体"/>
                <w:b/>
                <w:bCs w:val="0"/>
                <w:i w:val="0"/>
                <w:color w:val="000000"/>
                <w:kern w:val="0"/>
                <w:sz w:val="21"/>
                <w:szCs w:val="21"/>
                <w:highlight w:val="none"/>
                <w:u w:val="none"/>
                <w:lang w:val="en-US" w:eastAsia="zh-CN" w:bidi="ar"/>
              </w:rPr>
              <w:t>备注</w:t>
            </w:r>
          </w:p>
        </w:tc>
      </w:tr>
      <w:tr w14:paraId="32AE5A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2D4D7C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b w:val="0"/>
                <w:bCs/>
                <w:i w:val="0"/>
                <w:color w:val="000000"/>
                <w:sz w:val="21"/>
                <w:szCs w:val="21"/>
                <w:highlight w:val="none"/>
                <w:u w:val="none"/>
              </w:rPr>
            </w:pPr>
            <w:r>
              <w:rPr>
                <w:rFonts w:hint="eastAsia" w:ascii="Times New Roman" w:hAnsi="Times New Roman" w:eastAsia="宋体" w:cs="宋体"/>
                <w:b w:val="0"/>
                <w:bCs/>
                <w:i w:val="0"/>
                <w:color w:val="000000"/>
                <w:kern w:val="0"/>
                <w:sz w:val="21"/>
                <w:szCs w:val="21"/>
                <w:highlight w:val="none"/>
                <w:u w:val="none"/>
                <w:lang w:val="en-US" w:eastAsia="zh-CN" w:bidi="ar"/>
              </w:rPr>
              <w:t>1</w:t>
            </w:r>
          </w:p>
        </w:tc>
        <w:tc>
          <w:tcPr>
            <w:tcW w:w="3609" w:type="dxa"/>
            <w:tcBorders>
              <w:tl2br w:val="nil"/>
              <w:tr2bl w:val="nil"/>
            </w:tcBorders>
            <w:shd w:val="clear" w:color="auto" w:fill="auto"/>
            <w:noWrap/>
            <w:tcMar>
              <w:top w:w="15" w:type="dxa"/>
              <w:left w:w="15" w:type="dxa"/>
              <w:right w:w="15" w:type="dxa"/>
            </w:tcMar>
            <w:vAlign w:val="center"/>
          </w:tcPr>
          <w:p w14:paraId="698CE68C">
            <w:pPr>
              <w:keepNext w:val="0"/>
              <w:keepLines w:val="0"/>
              <w:widowControl/>
              <w:suppressLineNumbers w:val="0"/>
              <w:jc w:val="left"/>
              <w:textAlignment w:val="center"/>
              <w:rPr>
                <w:rFonts w:hint="eastAsia" w:ascii="Times New Roman" w:hAnsi="Times New Roman" w:eastAsia="宋体" w:cs="宋体"/>
                <w:b w:val="0"/>
                <w:bCs w:val="0"/>
                <w:i w:val="0"/>
                <w:color w:val="000000"/>
                <w:sz w:val="21"/>
                <w:szCs w:val="21"/>
                <w:highlight w:val="none"/>
                <w:u w:val="none"/>
              </w:rPr>
            </w:pPr>
            <w:r>
              <w:rPr>
                <w:rFonts w:hint="eastAsia" w:ascii="Times New Roman" w:hAnsi="Times New Roman" w:eastAsia="宋体" w:cs="宋体"/>
                <w:b w:val="0"/>
                <w:bCs w:val="0"/>
                <w:i w:val="0"/>
                <w:iCs w:val="0"/>
                <w:color w:val="000000"/>
                <w:kern w:val="0"/>
                <w:sz w:val="22"/>
                <w:szCs w:val="22"/>
                <w:u w:val="none"/>
                <w:lang w:val="en-US" w:eastAsia="zh-CN" w:bidi="ar"/>
              </w:rPr>
              <w:t>30岁以下男性体检方案</w:t>
            </w:r>
          </w:p>
        </w:tc>
        <w:tc>
          <w:tcPr>
            <w:tcW w:w="1236" w:type="dxa"/>
            <w:tcBorders>
              <w:tl2br w:val="nil"/>
              <w:tr2bl w:val="nil"/>
            </w:tcBorders>
            <w:shd w:val="clear" w:color="auto" w:fill="auto"/>
            <w:noWrap/>
            <w:tcMar>
              <w:top w:w="15" w:type="dxa"/>
              <w:left w:w="15" w:type="dxa"/>
              <w:right w:w="15" w:type="dxa"/>
            </w:tcMar>
            <w:vAlign w:val="center"/>
          </w:tcPr>
          <w:p w14:paraId="7B2A87E1">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14F9CA7D">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16</w:t>
            </w:r>
          </w:p>
        </w:tc>
        <w:tc>
          <w:tcPr>
            <w:tcW w:w="1503" w:type="dxa"/>
            <w:tcBorders>
              <w:tl2br w:val="nil"/>
              <w:tr2bl w:val="nil"/>
            </w:tcBorders>
            <w:shd w:val="clear" w:color="auto" w:fill="auto"/>
            <w:noWrap/>
            <w:tcMar>
              <w:top w:w="15" w:type="dxa"/>
              <w:left w:w="15" w:type="dxa"/>
              <w:right w:w="15" w:type="dxa"/>
            </w:tcMar>
            <w:vAlign w:val="center"/>
          </w:tcPr>
          <w:p w14:paraId="3C4C793E">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33FC3232">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r>
      <w:tr w14:paraId="106E8F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385F68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b w:val="0"/>
                <w:bCs/>
                <w:i w:val="0"/>
                <w:color w:val="000000"/>
                <w:sz w:val="21"/>
                <w:szCs w:val="21"/>
                <w:highlight w:val="none"/>
                <w:u w:val="none"/>
              </w:rPr>
            </w:pPr>
            <w:r>
              <w:rPr>
                <w:rFonts w:hint="eastAsia" w:ascii="Times New Roman" w:hAnsi="Times New Roman" w:eastAsia="宋体" w:cs="宋体"/>
                <w:b w:val="0"/>
                <w:bCs/>
                <w:i w:val="0"/>
                <w:color w:val="000000"/>
                <w:kern w:val="0"/>
                <w:sz w:val="21"/>
                <w:szCs w:val="21"/>
                <w:highlight w:val="none"/>
                <w:u w:val="none"/>
                <w:lang w:val="en-US" w:eastAsia="zh-CN" w:bidi="ar"/>
              </w:rPr>
              <w:t>2</w:t>
            </w:r>
          </w:p>
        </w:tc>
        <w:tc>
          <w:tcPr>
            <w:tcW w:w="3609" w:type="dxa"/>
            <w:tcBorders>
              <w:tl2br w:val="nil"/>
              <w:tr2bl w:val="nil"/>
            </w:tcBorders>
            <w:shd w:val="clear" w:color="auto" w:fill="auto"/>
            <w:noWrap/>
            <w:tcMar>
              <w:top w:w="15" w:type="dxa"/>
              <w:left w:w="15" w:type="dxa"/>
              <w:right w:w="15" w:type="dxa"/>
            </w:tcMar>
            <w:vAlign w:val="center"/>
          </w:tcPr>
          <w:p w14:paraId="7791B3AB">
            <w:pPr>
              <w:keepNext w:val="0"/>
              <w:keepLines w:val="0"/>
              <w:widowControl/>
              <w:suppressLineNumbers w:val="0"/>
              <w:jc w:val="left"/>
              <w:textAlignment w:val="center"/>
              <w:rPr>
                <w:rFonts w:hint="eastAsia" w:ascii="Times New Roman" w:hAnsi="Times New Roman" w:eastAsia="宋体" w:cs="宋体"/>
                <w:b w:val="0"/>
                <w:bCs w:val="0"/>
                <w:i w:val="0"/>
                <w:color w:val="000000"/>
                <w:sz w:val="21"/>
                <w:szCs w:val="21"/>
                <w:highlight w:val="none"/>
                <w:u w:val="none"/>
              </w:rPr>
            </w:pPr>
            <w:r>
              <w:rPr>
                <w:rFonts w:hint="eastAsia" w:ascii="Times New Roman" w:hAnsi="Times New Roman" w:eastAsia="宋体" w:cs="宋体"/>
                <w:b w:val="0"/>
                <w:bCs w:val="0"/>
                <w:i w:val="0"/>
                <w:iCs w:val="0"/>
                <w:color w:val="000000"/>
                <w:kern w:val="0"/>
                <w:sz w:val="22"/>
                <w:szCs w:val="22"/>
                <w:u w:val="none"/>
                <w:lang w:val="en-US" w:eastAsia="zh-CN" w:bidi="ar"/>
              </w:rPr>
              <w:t>满30岁未满40岁男性体检方案</w:t>
            </w:r>
          </w:p>
        </w:tc>
        <w:tc>
          <w:tcPr>
            <w:tcW w:w="1236" w:type="dxa"/>
            <w:tcBorders>
              <w:tl2br w:val="nil"/>
              <w:tr2bl w:val="nil"/>
            </w:tcBorders>
            <w:shd w:val="clear" w:color="auto" w:fill="auto"/>
            <w:noWrap/>
            <w:tcMar>
              <w:top w:w="15" w:type="dxa"/>
              <w:left w:w="15" w:type="dxa"/>
              <w:right w:w="15" w:type="dxa"/>
            </w:tcMar>
            <w:vAlign w:val="center"/>
          </w:tcPr>
          <w:p w14:paraId="1112AC6F">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69A60B5C">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13</w:t>
            </w:r>
          </w:p>
        </w:tc>
        <w:tc>
          <w:tcPr>
            <w:tcW w:w="1503" w:type="dxa"/>
            <w:tcBorders>
              <w:tl2br w:val="nil"/>
              <w:tr2bl w:val="nil"/>
            </w:tcBorders>
            <w:shd w:val="clear" w:color="auto" w:fill="auto"/>
            <w:noWrap/>
            <w:tcMar>
              <w:top w:w="15" w:type="dxa"/>
              <w:left w:w="15" w:type="dxa"/>
              <w:right w:w="15" w:type="dxa"/>
            </w:tcMar>
            <w:vAlign w:val="center"/>
          </w:tcPr>
          <w:p w14:paraId="2555220E">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0CD4CDC6">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r>
      <w:tr w14:paraId="1449DD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4F5A60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b w:val="0"/>
                <w:bCs/>
                <w:i w:val="0"/>
                <w:color w:val="000000"/>
                <w:sz w:val="21"/>
                <w:szCs w:val="21"/>
                <w:highlight w:val="none"/>
                <w:u w:val="none"/>
              </w:rPr>
            </w:pPr>
            <w:r>
              <w:rPr>
                <w:rFonts w:hint="eastAsia" w:ascii="Times New Roman" w:hAnsi="Times New Roman" w:eastAsia="宋体" w:cs="宋体"/>
                <w:b w:val="0"/>
                <w:bCs/>
                <w:i w:val="0"/>
                <w:color w:val="000000"/>
                <w:kern w:val="0"/>
                <w:sz w:val="21"/>
                <w:szCs w:val="21"/>
                <w:highlight w:val="none"/>
                <w:u w:val="none"/>
                <w:lang w:val="en-US" w:eastAsia="zh-CN" w:bidi="ar"/>
              </w:rPr>
              <w:t>3</w:t>
            </w:r>
          </w:p>
        </w:tc>
        <w:tc>
          <w:tcPr>
            <w:tcW w:w="3609" w:type="dxa"/>
            <w:tcBorders>
              <w:tl2br w:val="nil"/>
              <w:tr2bl w:val="nil"/>
            </w:tcBorders>
            <w:shd w:val="clear" w:color="auto" w:fill="auto"/>
            <w:noWrap/>
            <w:tcMar>
              <w:top w:w="15" w:type="dxa"/>
              <w:left w:w="15" w:type="dxa"/>
              <w:right w:w="15" w:type="dxa"/>
            </w:tcMar>
            <w:vAlign w:val="center"/>
          </w:tcPr>
          <w:p w14:paraId="78992E25">
            <w:pPr>
              <w:keepNext w:val="0"/>
              <w:keepLines w:val="0"/>
              <w:widowControl/>
              <w:suppressLineNumbers w:val="0"/>
              <w:jc w:val="left"/>
              <w:textAlignment w:val="center"/>
              <w:rPr>
                <w:rFonts w:hint="eastAsia" w:ascii="Times New Roman" w:hAnsi="Times New Roman" w:eastAsia="宋体" w:cs="宋体"/>
                <w:b w:val="0"/>
                <w:bCs w:val="0"/>
                <w:i w:val="0"/>
                <w:color w:val="000000"/>
                <w:sz w:val="21"/>
                <w:szCs w:val="21"/>
                <w:highlight w:val="none"/>
                <w:u w:val="none"/>
              </w:rPr>
            </w:pPr>
            <w:r>
              <w:rPr>
                <w:rFonts w:hint="eastAsia" w:ascii="Times New Roman" w:hAnsi="Times New Roman" w:eastAsia="宋体" w:cs="宋体"/>
                <w:b w:val="0"/>
                <w:bCs w:val="0"/>
                <w:i w:val="0"/>
                <w:iCs w:val="0"/>
                <w:color w:val="000000"/>
                <w:kern w:val="0"/>
                <w:sz w:val="22"/>
                <w:szCs w:val="22"/>
                <w:u w:val="none"/>
                <w:lang w:val="en-US" w:eastAsia="zh-CN" w:bidi="ar"/>
              </w:rPr>
              <w:t>满40岁未满50岁男性体检方案</w:t>
            </w:r>
          </w:p>
        </w:tc>
        <w:tc>
          <w:tcPr>
            <w:tcW w:w="1236" w:type="dxa"/>
            <w:tcBorders>
              <w:tl2br w:val="nil"/>
              <w:tr2bl w:val="nil"/>
            </w:tcBorders>
            <w:shd w:val="clear" w:color="auto" w:fill="auto"/>
            <w:noWrap/>
            <w:tcMar>
              <w:top w:w="15" w:type="dxa"/>
              <w:left w:w="15" w:type="dxa"/>
              <w:right w:w="15" w:type="dxa"/>
            </w:tcMar>
            <w:vAlign w:val="center"/>
          </w:tcPr>
          <w:p w14:paraId="4B7BF47F">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66651928">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20</w:t>
            </w:r>
          </w:p>
        </w:tc>
        <w:tc>
          <w:tcPr>
            <w:tcW w:w="1503" w:type="dxa"/>
            <w:tcBorders>
              <w:tl2br w:val="nil"/>
              <w:tr2bl w:val="nil"/>
            </w:tcBorders>
            <w:shd w:val="clear" w:color="auto" w:fill="auto"/>
            <w:noWrap/>
            <w:tcMar>
              <w:top w:w="15" w:type="dxa"/>
              <w:left w:w="15" w:type="dxa"/>
              <w:right w:w="15" w:type="dxa"/>
            </w:tcMar>
            <w:vAlign w:val="center"/>
          </w:tcPr>
          <w:p w14:paraId="7E2FA21F">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38A7F445">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r>
      <w:tr w14:paraId="48393F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4F57E7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b w:val="0"/>
                <w:bCs/>
                <w:i w:val="0"/>
                <w:color w:val="000000"/>
                <w:sz w:val="21"/>
                <w:szCs w:val="21"/>
                <w:highlight w:val="none"/>
                <w:u w:val="none"/>
              </w:rPr>
            </w:pPr>
            <w:r>
              <w:rPr>
                <w:rFonts w:hint="eastAsia" w:ascii="Times New Roman" w:hAnsi="Times New Roman" w:eastAsia="宋体" w:cs="宋体"/>
                <w:b w:val="0"/>
                <w:bCs/>
                <w:i w:val="0"/>
                <w:color w:val="000000"/>
                <w:kern w:val="0"/>
                <w:sz w:val="21"/>
                <w:szCs w:val="21"/>
                <w:highlight w:val="none"/>
                <w:u w:val="none"/>
                <w:lang w:val="en-US" w:eastAsia="zh-CN" w:bidi="ar"/>
              </w:rPr>
              <w:t>4</w:t>
            </w:r>
          </w:p>
        </w:tc>
        <w:tc>
          <w:tcPr>
            <w:tcW w:w="3609" w:type="dxa"/>
            <w:tcBorders>
              <w:tl2br w:val="nil"/>
              <w:tr2bl w:val="nil"/>
            </w:tcBorders>
            <w:shd w:val="clear" w:color="auto" w:fill="auto"/>
            <w:noWrap/>
            <w:tcMar>
              <w:top w:w="15" w:type="dxa"/>
              <w:left w:w="15" w:type="dxa"/>
              <w:right w:w="15" w:type="dxa"/>
            </w:tcMar>
            <w:vAlign w:val="center"/>
          </w:tcPr>
          <w:p w14:paraId="483E6B64">
            <w:pPr>
              <w:keepNext w:val="0"/>
              <w:keepLines w:val="0"/>
              <w:widowControl/>
              <w:suppressLineNumbers w:val="0"/>
              <w:jc w:val="left"/>
              <w:textAlignment w:val="center"/>
              <w:rPr>
                <w:rFonts w:hint="eastAsia" w:ascii="Times New Roman" w:hAnsi="Times New Roman" w:eastAsia="宋体" w:cs="宋体"/>
                <w:b w:val="0"/>
                <w:bCs w:val="0"/>
                <w:i w:val="0"/>
                <w:color w:val="000000"/>
                <w:sz w:val="21"/>
                <w:szCs w:val="21"/>
                <w:highlight w:val="none"/>
                <w:u w:val="none"/>
              </w:rPr>
            </w:pPr>
            <w:r>
              <w:rPr>
                <w:rFonts w:hint="eastAsia" w:ascii="Times New Roman" w:hAnsi="Times New Roman" w:eastAsia="宋体" w:cs="宋体"/>
                <w:b w:val="0"/>
                <w:bCs w:val="0"/>
                <w:i w:val="0"/>
                <w:iCs w:val="0"/>
                <w:color w:val="000000"/>
                <w:kern w:val="0"/>
                <w:sz w:val="22"/>
                <w:szCs w:val="22"/>
                <w:u w:val="none"/>
                <w:lang w:val="en-US" w:eastAsia="zh-CN" w:bidi="ar"/>
              </w:rPr>
              <w:t>50岁及以上男性体检方案</w:t>
            </w:r>
          </w:p>
        </w:tc>
        <w:tc>
          <w:tcPr>
            <w:tcW w:w="1236" w:type="dxa"/>
            <w:tcBorders>
              <w:tl2br w:val="nil"/>
              <w:tr2bl w:val="nil"/>
            </w:tcBorders>
            <w:shd w:val="clear" w:color="auto" w:fill="auto"/>
            <w:noWrap/>
            <w:tcMar>
              <w:top w:w="15" w:type="dxa"/>
              <w:left w:w="15" w:type="dxa"/>
              <w:right w:w="15" w:type="dxa"/>
            </w:tcMar>
            <w:vAlign w:val="center"/>
          </w:tcPr>
          <w:p w14:paraId="5B5BCE25">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26499676">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15</w:t>
            </w:r>
          </w:p>
        </w:tc>
        <w:tc>
          <w:tcPr>
            <w:tcW w:w="1503" w:type="dxa"/>
            <w:tcBorders>
              <w:tl2br w:val="nil"/>
              <w:tr2bl w:val="nil"/>
            </w:tcBorders>
            <w:shd w:val="clear" w:color="auto" w:fill="auto"/>
            <w:noWrap/>
            <w:tcMar>
              <w:top w:w="15" w:type="dxa"/>
              <w:left w:w="15" w:type="dxa"/>
              <w:right w:w="15" w:type="dxa"/>
            </w:tcMar>
            <w:vAlign w:val="center"/>
          </w:tcPr>
          <w:p w14:paraId="095688F9">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192D6315">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r>
      <w:tr w14:paraId="304416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617ABB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b w:val="0"/>
                <w:bCs/>
                <w:i w:val="0"/>
                <w:color w:val="000000"/>
                <w:sz w:val="21"/>
                <w:szCs w:val="21"/>
                <w:highlight w:val="none"/>
                <w:u w:val="none"/>
              </w:rPr>
            </w:pPr>
            <w:r>
              <w:rPr>
                <w:rFonts w:hint="eastAsia" w:ascii="Times New Roman" w:hAnsi="Times New Roman" w:eastAsia="宋体" w:cs="宋体"/>
                <w:b w:val="0"/>
                <w:bCs/>
                <w:i w:val="0"/>
                <w:color w:val="000000"/>
                <w:kern w:val="0"/>
                <w:sz w:val="21"/>
                <w:szCs w:val="21"/>
                <w:highlight w:val="none"/>
                <w:u w:val="none"/>
                <w:lang w:val="en-US" w:eastAsia="zh-CN" w:bidi="ar"/>
              </w:rPr>
              <w:t>5</w:t>
            </w:r>
          </w:p>
        </w:tc>
        <w:tc>
          <w:tcPr>
            <w:tcW w:w="3609" w:type="dxa"/>
            <w:tcBorders>
              <w:tl2br w:val="nil"/>
              <w:tr2bl w:val="nil"/>
            </w:tcBorders>
            <w:shd w:val="clear" w:color="auto" w:fill="auto"/>
            <w:noWrap/>
            <w:tcMar>
              <w:top w:w="15" w:type="dxa"/>
              <w:left w:w="15" w:type="dxa"/>
              <w:right w:w="15" w:type="dxa"/>
            </w:tcMar>
            <w:vAlign w:val="center"/>
          </w:tcPr>
          <w:p w14:paraId="7E4A48B5">
            <w:pPr>
              <w:keepNext w:val="0"/>
              <w:keepLines w:val="0"/>
              <w:widowControl/>
              <w:suppressLineNumbers w:val="0"/>
              <w:jc w:val="left"/>
              <w:textAlignment w:val="center"/>
              <w:rPr>
                <w:rFonts w:hint="eastAsia" w:ascii="Times New Roman" w:hAnsi="Times New Roman" w:eastAsia="宋体" w:cs="宋体"/>
                <w:b w:val="0"/>
                <w:bCs w:val="0"/>
                <w:i w:val="0"/>
                <w:color w:val="000000"/>
                <w:sz w:val="21"/>
                <w:szCs w:val="21"/>
                <w:highlight w:val="none"/>
                <w:u w:val="none"/>
              </w:rPr>
            </w:pPr>
            <w:r>
              <w:rPr>
                <w:rFonts w:hint="eastAsia" w:ascii="Times New Roman" w:hAnsi="Times New Roman" w:eastAsia="宋体" w:cs="宋体"/>
                <w:b w:val="0"/>
                <w:bCs w:val="0"/>
                <w:i w:val="0"/>
                <w:iCs w:val="0"/>
                <w:color w:val="000000"/>
                <w:kern w:val="0"/>
                <w:sz w:val="22"/>
                <w:szCs w:val="22"/>
                <w:u w:val="none"/>
                <w:lang w:val="en-US" w:eastAsia="zh-CN" w:bidi="ar"/>
              </w:rPr>
              <w:t>30岁以下未婚女性体检方案</w:t>
            </w:r>
          </w:p>
        </w:tc>
        <w:tc>
          <w:tcPr>
            <w:tcW w:w="1236" w:type="dxa"/>
            <w:tcBorders>
              <w:tl2br w:val="nil"/>
              <w:tr2bl w:val="nil"/>
            </w:tcBorders>
            <w:shd w:val="clear" w:color="auto" w:fill="auto"/>
            <w:noWrap/>
            <w:tcMar>
              <w:top w:w="15" w:type="dxa"/>
              <w:left w:w="15" w:type="dxa"/>
              <w:right w:w="15" w:type="dxa"/>
            </w:tcMar>
            <w:vAlign w:val="center"/>
          </w:tcPr>
          <w:p w14:paraId="78DA76A9">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37D2808B">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8</w:t>
            </w:r>
          </w:p>
        </w:tc>
        <w:tc>
          <w:tcPr>
            <w:tcW w:w="1503" w:type="dxa"/>
            <w:tcBorders>
              <w:tl2br w:val="nil"/>
              <w:tr2bl w:val="nil"/>
            </w:tcBorders>
            <w:shd w:val="clear" w:color="auto" w:fill="auto"/>
            <w:noWrap/>
            <w:tcMar>
              <w:top w:w="15" w:type="dxa"/>
              <w:left w:w="15" w:type="dxa"/>
              <w:right w:w="15" w:type="dxa"/>
            </w:tcMar>
            <w:vAlign w:val="center"/>
          </w:tcPr>
          <w:p w14:paraId="650CC39D">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056D453F">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r>
      <w:tr w14:paraId="5FA11E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4B3FE7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b w:val="0"/>
                <w:bCs/>
                <w:i w:val="0"/>
                <w:color w:val="000000"/>
                <w:sz w:val="21"/>
                <w:szCs w:val="21"/>
                <w:highlight w:val="none"/>
                <w:u w:val="none"/>
              </w:rPr>
            </w:pPr>
            <w:r>
              <w:rPr>
                <w:rFonts w:hint="eastAsia" w:ascii="Times New Roman" w:hAnsi="Times New Roman" w:eastAsia="宋体" w:cs="宋体"/>
                <w:b w:val="0"/>
                <w:bCs/>
                <w:i w:val="0"/>
                <w:color w:val="000000"/>
                <w:kern w:val="0"/>
                <w:sz w:val="21"/>
                <w:szCs w:val="21"/>
                <w:highlight w:val="none"/>
                <w:u w:val="none"/>
                <w:lang w:val="en-US" w:eastAsia="zh-CN" w:bidi="ar"/>
              </w:rPr>
              <w:t>6</w:t>
            </w:r>
          </w:p>
        </w:tc>
        <w:tc>
          <w:tcPr>
            <w:tcW w:w="3609" w:type="dxa"/>
            <w:tcBorders>
              <w:tl2br w:val="nil"/>
              <w:tr2bl w:val="nil"/>
            </w:tcBorders>
            <w:shd w:val="clear" w:color="auto" w:fill="auto"/>
            <w:noWrap/>
            <w:tcMar>
              <w:top w:w="15" w:type="dxa"/>
              <w:left w:w="15" w:type="dxa"/>
              <w:right w:w="15" w:type="dxa"/>
            </w:tcMar>
            <w:vAlign w:val="center"/>
          </w:tcPr>
          <w:p w14:paraId="46B1B56A">
            <w:pPr>
              <w:keepNext w:val="0"/>
              <w:keepLines w:val="0"/>
              <w:widowControl/>
              <w:suppressLineNumbers w:val="0"/>
              <w:jc w:val="left"/>
              <w:textAlignment w:val="center"/>
              <w:rPr>
                <w:rFonts w:hint="eastAsia" w:ascii="Times New Roman" w:hAnsi="Times New Roman" w:eastAsia="宋体" w:cs="宋体"/>
                <w:b w:val="0"/>
                <w:bCs w:val="0"/>
                <w:i w:val="0"/>
                <w:color w:val="000000"/>
                <w:sz w:val="21"/>
                <w:szCs w:val="21"/>
                <w:highlight w:val="none"/>
                <w:u w:val="none"/>
              </w:rPr>
            </w:pPr>
            <w:r>
              <w:rPr>
                <w:rFonts w:hint="eastAsia" w:ascii="Times New Roman" w:hAnsi="Times New Roman" w:eastAsia="宋体" w:cs="宋体"/>
                <w:b w:val="0"/>
                <w:bCs w:val="0"/>
                <w:i w:val="0"/>
                <w:iCs w:val="0"/>
                <w:color w:val="000000"/>
                <w:kern w:val="0"/>
                <w:sz w:val="22"/>
                <w:szCs w:val="22"/>
                <w:u w:val="none"/>
                <w:lang w:val="en-US" w:eastAsia="zh-CN" w:bidi="ar"/>
              </w:rPr>
              <w:t>满30岁未满40岁未婚女性体检方案</w:t>
            </w:r>
          </w:p>
        </w:tc>
        <w:tc>
          <w:tcPr>
            <w:tcW w:w="1236" w:type="dxa"/>
            <w:tcBorders>
              <w:tl2br w:val="nil"/>
              <w:tr2bl w:val="nil"/>
            </w:tcBorders>
            <w:shd w:val="clear" w:color="auto" w:fill="auto"/>
            <w:noWrap/>
            <w:tcMar>
              <w:top w:w="15" w:type="dxa"/>
              <w:left w:w="15" w:type="dxa"/>
              <w:right w:w="15" w:type="dxa"/>
            </w:tcMar>
            <w:vAlign w:val="center"/>
          </w:tcPr>
          <w:p w14:paraId="0D74090C">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64873618">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10</w:t>
            </w:r>
          </w:p>
        </w:tc>
        <w:tc>
          <w:tcPr>
            <w:tcW w:w="1503" w:type="dxa"/>
            <w:tcBorders>
              <w:tl2br w:val="nil"/>
              <w:tr2bl w:val="nil"/>
            </w:tcBorders>
            <w:shd w:val="clear" w:color="auto" w:fill="auto"/>
            <w:noWrap/>
            <w:tcMar>
              <w:top w:w="15" w:type="dxa"/>
              <w:left w:w="15" w:type="dxa"/>
              <w:right w:w="15" w:type="dxa"/>
            </w:tcMar>
            <w:vAlign w:val="center"/>
          </w:tcPr>
          <w:p w14:paraId="26EA791A">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2DFDAEB9">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r>
      <w:tr w14:paraId="0EA3B8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7876FB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b w:val="0"/>
                <w:bCs/>
                <w:i w:val="0"/>
                <w:color w:val="000000"/>
                <w:sz w:val="21"/>
                <w:szCs w:val="21"/>
                <w:highlight w:val="none"/>
                <w:u w:val="none"/>
              </w:rPr>
            </w:pPr>
            <w:r>
              <w:rPr>
                <w:rFonts w:hint="eastAsia" w:ascii="Times New Roman" w:hAnsi="Times New Roman" w:eastAsia="宋体" w:cs="宋体"/>
                <w:b w:val="0"/>
                <w:bCs/>
                <w:i w:val="0"/>
                <w:color w:val="000000"/>
                <w:kern w:val="0"/>
                <w:sz w:val="21"/>
                <w:szCs w:val="21"/>
                <w:highlight w:val="none"/>
                <w:u w:val="none"/>
                <w:lang w:val="en-US" w:eastAsia="zh-CN" w:bidi="ar"/>
              </w:rPr>
              <w:t>7</w:t>
            </w:r>
          </w:p>
        </w:tc>
        <w:tc>
          <w:tcPr>
            <w:tcW w:w="3609" w:type="dxa"/>
            <w:tcBorders>
              <w:tl2br w:val="nil"/>
              <w:tr2bl w:val="nil"/>
            </w:tcBorders>
            <w:shd w:val="clear" w:color="auto" w:fill="auto"/>
            <w:noWrap/>
            <w:tcMar>
              <w:top w:w="15" w:type="dxa"/>
              <w:left w:w="15" w:type="dxa"/>
              <w:right w:w="15" w:type="dxa"/>
            </w:tcMar>
            <w:vAlign w:val="center"/>
          </w:tcPr>
          <w:p w14:paraId="05FB4ED1">
            <w:pPr>
              <w:keepNext w:val="0"/>
              <w:keepLines w:val="0"/>
              <w:widowControl/>
              <w:suppressLineNumbers w:val="0"/>
              <w:jc w:val="left"/>
              <w:textAlignment w:val="center"/>
              <w:rPr>
                <w:rFonts w:hint="eastAsia" w:ascii="Times New Roman" w:hAnsi="Times New Roman" w:eastAsia="宋体" w:cs="宋体"/>
                <w:b w:val="0"/>
                <w:bCs w:val="0"/>
                <w:i w:val="0"/>
                <w:color w:val="000000"/>
                <w:sz w:val="21"/>
                <w:szCs w:val="21"/>
                <w:highlight w:val="none"/>
                <w:u w:val="none"/>
              </w:rPr>
            </w:pPr>
            <w:r>
              <w:rPr>
                <w:rFonts w:hint="eastAsia" w:ascii="Times New Roman" w:hAnsi="Times New Roman" w:eastAsia="宋体" w:cs="宋体"/>
                <w:b w:val="0"/>
                <w:bCs w:val="0"/>
                <w:i w:val="0"/>
                <w:iCs w:val="0"/>
                <w:color w:val="000000"/>
                <w:kern w:val="0"/>
                <w:sz w:val="22"/>
                <w:szCs w:val="22"/>
                <w:u w:val="none"/>
                <w:lang w:val="en-US" w:eastAsia="zh-CN" w:bidi="ar"/>
              </w:rPr>
              <w:t>满40岁未满50岁未婚女性体检方案</w:t>
            </w:r>
          </w:p>
        </w:tc>
        <w:tc>
          <w:tcPr>
            <w:tcW w:w="1236" w:type="dxa"/>
            <w:tcBorders>
              <w:tl2br w:val="nil"/>
              <w:tr2bl w:val="nil"/>
            </w:tcBorders>
            <w:shd w:val="clear" w:color="auto" w:fill="auto"/>
            <w:noWrap/>
            <w:tcMar>
              <w:top w:w="15" w:type="dxa"/>
              <w:left w:w="15" w:type="dxa"/>
              <w:right w:w="15" w:type="dxa"/>
            </w:tcMar>
            <w:vAlign w:val="center"/>
          </w:tcPr>
          <w:p w14:paraId="7564CFD9">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427F0F5B">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2</w:t>
            </w:r>
          </w:p>
        </w:tc>
        <w:tc>
          <w:tcPr>
            <w:tcW w:w="1503" w:type="dxa"/>
            <w:tcBorders>
              <w:tl2br w:val="nil"/>
              <w:tr2bl w:val="nil"/>
            </w:tcBorders>
            <w:shd w:val="clear" w:color="auto" w:fill="auto"/>
            <w:noWrap/>
            <w:tcMar>
              <w:top w:w="15" w:type="dxa"/>
              <w:left w:w="15" w:type="dxa"/>
              <w:right w:w="15" w:type="dxa"/>
            </w:tcMar>
            <w:vAlign w:val="center"/>
          </w:tcPr>
          <w:p w14:paraId="5BB644D6">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56339DE8">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r>
      <w:tr w14:paraId="5C2F3E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20C0C9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b w:val="0"/>
                <w:bCs/>
                <w:i w:val="0"/>
                <w:color w:val="000000"/>
                <w:sz w:val="21"/>
                <w:szCs w:val="21"/>
                <w:highlight w:val="none"/>
                <w:u w:val="none"/>
              </w:rPr>
            </w:pPr>
            <w:r>
              <w:rPr>
                <w:rFonts w:hint="eastAsia" w:ascii="Times New Roman" w:hAnsi="Times New Roman" w:eastAsia="宋体" w:cs="宋体"/>
                <w:b w:val="0"/>
                <w:bCs/>
                <w:i w:val="0"/>
                <w:color w:val="000000"/>
                <w:kern w:val="0"/>
                <w:sz w:val="21"/>
                <w:szCs w:val="21"/>
                <w:highlight w:val="none"/>
                <w:u w:val="none"/>
                <w:lang w:val="en-US" w:eastAsia="zh-CN" w:bidi="ar"/>
              </w:rPr>
              <w:t>8</w:t>
            </w:r>
          </w:p>
        </w:tc>
        <w:tc>
          <w:tcPr>
            <w:tcW w:w="3609" w:type="dxa"/>
            <w:tcBorders>
              <w:tl2br w:val="nil"/>
              <w:tr2bl w:val="nil"/>
            </w:tcBorders>
            <w:shd w:val="clear" w:color="auto" w:fill="auto"/>
            <w:noWrap/>
            <w:tcMar>
              <w:top w:w="15" w:type="dxa"/>
              <w:left w:w="15" w:type="dxa"/>
              <w:right w:w="15" w:type="dxa"/>
            </w:tcMar>
            <w:vAlign w:val="center"/>
          </w:tcPr>
          <w:p w14:paraId="31458882">
            <w:pPr>
              <w:keepNext w:val="0"/>
              <w:keepLines w:val="0"/>
              <w:widowControl/>
              <w:suppressLineNumbers w:val="0"/>
              <w:jc w:val="left"/>
              <w:textAlignment w:val="center"/>
              <w:rPr>
                <w:rFonts w:hint="eastAsia" w:ascii="Times New Roman" w:hAnsi="Times New Roman" w:eastAsia="宋体" w:cs="宋体"/>
                <w:b w:val="0"/>
                <w:bCs w:val="0"/>
                <w:i w:val="0"/>
                <w:color w:val="000000"/>
                <w:sz w:val="21"/>
                <w:szCs w:val="21"/>
                <w:highlight w:val="none"/>
                <w:u w:val="none"/>
              </w:rPr>
            </w:pPr>
            <w:r>
              <w:rPr>
                <w:rFonts w:hint="eastAsia" w:ascii="Times New Roman" w:hAnsi="Times New Roman" w:eastAsia="宋体" w:cs="宋体"/>
                <w:b w:val="0"/>
                <w:bCs w:val="0"/>
                <w:i w:val="0"/>
                <w:iCs w:val="0"/>
                <w:color w:val="000000"/>
                <w:kern w:val="0"/>
                <w:sz w:val="22"/>
                <w:szCs w:val="22"/>
                <w:u w:val="none"/>
                <w:lang w:val="en-US" w:eastAsia="zh-CN" w:bidi="ar"/>
              </w:rPr>
              <w:t>50岁及以上未婚女性体检方案</w:t>
            </w:r>
          </w:p>
        </w:tc>
        <w:tc>
          <w:tcPr>
            <w:tcW w:w="1236" w:type="dxa"/>
            <w:tcBorders>
              <w:tl2br w:val="nil"/>
              <w:tr2bl w:val="nil"/>
            </w:tcBorders>
            <w:shd w:val="clear" w:color="auto" w:fill="auto"/>
            <w:noWrap/>
            <w:tcMar>
              <w:top w:w="15" w:type="dxa"/>
              <w:left w:w="15" w:type="dxa"/>
              <w:right w:w="15" w:type="dxa"/>
            </w:tcMar>
            <w:vAlign w:val="center"/>
          </w:tcPr>
          <w:p w14:paraId="7D32D651">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5832AF9C">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0</w:t>
            </w:r>
          </w:p>
        </w:tc>
        <w:tc>
          <w:tcPr>
            <w:tcW w:w="1503" w:type="dxa"/>
            <w:tcBorders>
              <w:tl2br w:val="nil"/>
              <w:tr2bl w:val="nil"/>
            </w:tcBorders>
            <w:shd w:val="clear" w:color="auto" w:fill="auto"/>
            <w:noWrap/>
            <w:tcMar>
              <w:top w:w="15" w:type="dxa"/>
              <w:left w:w="15" w:type="dxa"/>
              <w:right w:w="15" w:type="dxa"/>
            </w:tcMar>
            <w:vAlign w:val="center"/>
          </w:tcPr>
          <w:p w14:paraId="07E8A768">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2A5C5998">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r>
      <w:tr w14:paraId="16E55F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16D8AA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b w:val="0"/>
                <w:bCs/>
                <w:i w:val="0"/>
                <w:color w:val="000000"/>
                <w:sz w:val="21"/>
                <w:szCs w:val="21"/>
                <w:highlight w:val="none"/>
                <w:u w:val="none"/>
              </w:rPr>
            </w:pPr>
            <w:r>
              <w:rPr>
                <w:rFonts w:hint="eastAsia" w:ascii="Times New Roman" w:hAnsi="Times New Roman" w:eastAsia="宋体" w:cs="宋体"/>
                <w:b w:val="0"/>
                <w:bCs/>
                <w:i w:val="0"/>
                <w:color w:val="000000"/>
                <w:kern w:val="0"/>
                <w:sz w:val="21"/>
                <w:szCs w:val="21"/>
                <w:highlight w:val="none"/>
                <w:u w:val="none"/>
                <w:lang w:val="en-US" w:eastAsia="zh-CN" w:bidi="ar"/>
              </w:rPr>
              <w:t>9</w:t>
            </w:r>
          </w:p>
        </w:tc>
        <w:tc>
          <w:tcPr>
            <w:tcW w:w="3609" w:type="dxa"/>
            <w:tcBorders>
              <w:tl2br w:val="nil"/>
              <w:tr2bl w:val="nil"/>
            </w:tcBorders>
            <w:shd w:val="clear" w:color="auto" w:fill="auto"/>
            <w:noWrap/>
            <w:tcMar>
              <w:top w:w="15" w:type="dxa"/>
              <w:left w:w="15" w:type="dxa"/>
              <w:right w:w="15" w:type="dxa"/>
            </w:tcMar>
            <w:vAlign w:val="center"/>
          </w:tcPr>
          <w:p w14:paraId="2506EFB0">
            <w:pPr>
              <w:keepNext w:val="0"/>
              <w:keepLines w:val="0"/>
              <w:widowControl/>
              <w:suppressLineNumbers w:val="0"/>
              <w:jc w:val="left"/>
              <w:textAlignment w:val="center"/>
              <w:rPr>
                <w:rFonts w:hint="eastAsia" w:ascii="Times New Roman" w:hAnsi="Times New Roman" w:eastAsia="宋体" w:cs="宋体"/>
                <w:b w:val="0"/>
                <w:bCs w:val="0"/>
                <w:i w:val="0"/>
                <w:color w:val="000000"/>
                <w:sz w:val="21"/>
                <w:szCs w:val="21"/>
                <w:highlight w:val="none"/>
                <w:u w:val="none"/>
              </w:rPr>
            </w:pPr>
            <w:r>
              <w:rPr>
                <w:rFonts w:hint="eastAsia" w:ascii="Times New Roman" w:hAnsi="Times New Roman" w:eastAsia="宋体" w:cs="宋体"/>
                <w:b w:val="0"/>
                <w:bCs w:val="0"/>
                <w:i w:val="0"/>
                <w:iCs w:val="0"/>
                <w:color w:val="000000"/>
                <w:kern w:val="0"/>
                <w:sz w:val="22"/>
                <w:szCs w:val="22"/>
                <w:u w:val="none"/>
                <w:lang w:val="en-US" w:eastAsia="zh-CN" w:bidi="ar"/>
              </w:rPr>
              <w:t>30岁以下已婚女性体检方案</w:t>
            </w:r>
          </w:p>
        </w:tc>
        <w:tc>
          <w:tcPr>
            <w:tcW w:w="1236" w:type="dxa"/>
            <w:tcBorders>
              <w:tl2br w:val="nil"/>
              <w:tr2bl w:val="nil"/>
            </w:tcBorders>
            <w:shd w:val="clear" w:color="auto" w:fill="auto"/>
            <w:noWrap/>
            <w:tcMar>
              <w:top w:w="15" w:type="dxa"/>
              <w:left w:w="15" w:type="dxa"/>
              <w:right w:w="15" w:type="dxa"/>
            </w:tcMar>
            <w:vAlign w:val="center"/>
          </w:tcPr>
          <w:p w14:paraId="1B4922FC">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5F29059D">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6</w:t>
            </w:r>
          </w:p>
        </w:tc>
        <w:tc>
          <w:tcPr>
            <w:tcW w:w="1503" w:type="dxa"/>
            <w:tcBorders>
              <w:tl2br w:val="nil"/>
              <w:tr2bl w:val="nil"/>
            </w:tcBorders>
            <w:shd w:val="clear" w:color="auto" w:fill="auto"/>
            <w:noWrap/>
            <w:tcMar>
              <w:top w:w="15" w:type="dxa"/>
              <w:left w:w="15" w:type="dxa"/>
              <w:right w:w="15" w:type="dxa"/>
            </w:tcMar>
            <w:vAlign w:val="center"/>
          </w:tcPr>
          <w:p w14:paraId="25A8C830">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6E029B8B">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r>
      <w:tr w14:paraId="663DCA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6A7AD9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b w:val="0"/>
                <w:bCs/>
                <w:i w:val="0"/>
                <w:color w:val="000000"/>
                <w:sz w:val="21"/>
                <w:szCs w:val="21"/>
                <w:highlight w:val="none"/>
                <w:u w:val="none"/>
              </w:rPr>
            </w:pPr>
            <w:r>
              <w:rPr>
                <w:rFonts w:hint="eastAsia" w:ascii="Times New Roman" w:hAnsi="Times New Roman" w:eastAsia="宋体" w:cs="宋体"/>
                <w:b w:val="0"/>
                <w:bCs/>
                <w:i w:val="0"/>
                <w:color w:val="000000"/>
                <w:kern w:val="0"/>
                <w:sz w:val="21"/>
                <w:szCs w:val="21"/>
                <w:highlight w:val="none"/>
                <w:u w:val="none"/>
                <w:lang w:val="en-US" w:eastAsia="zh-CN" w:bidi="ar"/>
              </w:rPr>
              <w:t>10</w:t>
            </w:r>
          </w:p>
        </w:tc>
        <w:tc>
          <w:tcPr>
            <w:tcW w:w="3609" w:type="dxa"/>
            <w:tcBorders>
              <w:tl2br w:val="nil"/>
              <w:tr2bl w:val="nil"/>
            </w:tcBorders>
            <w:shd w:val="clear" w:color="auto" w:fill="auto"/>
            <w:noWrap/>
            <w:tcMar>
              <w:top w:w="15" w:type="dxa"/>
              <w:left w:w="15" w:type="dxa"/>
              <w:right w:w="15" w:type="dxa"/>
            </w:tcMar>
            <w:vAlign w:val="center"/>
          </w:tcPr>
          <w:p w14:paraId="4D8758AC">
            <w:pPr>
              <w:keepNext w:val="0"/>
              <w:keepLines w:val="0"/>
              <w:widowControl/>
              <w:suppressLineNumbers w:val="0"/>
              <w:jc w:val="left"/>
              <w:textAlignment w:val="center"/>
              <w:rPr>
                <w:rFonts w:hint="eastAsia" w:ascii="Times New Roman" w:hAnsi="Times New Roman" w:eastAsia="宋体" w:cs="宋体"/>
                <w:b w:val="0"/>
                <w:bCs w:val="0"/>
                <w:i w:val="0"/>
                <w:color w:val="000000"/>
                <w:sz w:val="21"/>
                <w:szCs w:val="21"/>
                <w:highlight w:val="none"/>
                <w:u w:val="none"/>
              </w:rPr>
            </w:pPr>
            <w:r>
              <w:rPr>
                <w:rFonts w:hint="eastAsia" w:ascii="Times New Roman" w:hAnsi="Times New Roman" w:eastAsia="宋体" w:cs="宋体"/>
                <w:b w:val="0"/>
                <w:bCs w:val="0"/>
                <w:i w:val="0"/>
                <w:iCs w:val="0"/>
                <w:color w:val="000000"/>
                <w:kern w:val="0"/>
                <w:sz w:val="22"/>
                <w:szCs w:val="22"/>
                <w:u w:val="none"/>
                <w:lang w:val="en-US" w:eastAsia="zh-CN" w:bidi="ar"/>
              </w:rPr>
              <w:t>满30岁未满40岁已婚女性体检方案</w:t>
            </w:r>
          </w:p>
        </w:tc>
        <w:tc>
          <w:tcPr>
            <w:tcW w:w="1236" w:type="dxa"/>
            <w:tcBorders>
              <w:tl2br w:val="nil"/>
              <w:tr2bl w:val="nil"/>
            </w:tcBorders>
            <w:shd w:val="clear" w:color="auto" w:fill="auto"/>
            <w:noWrap/>
            <w:tcMar>
              <w:top w:w="15" w:type="dxa"/>
              <w:left w:w="15" w:type="dxa"/>
              <w:right w:w="15" w:type="dxa"/>
            </w:tcMar>
            <w:vAlign w:val="center"/>
          </w:tcPr>
          <w:p w14:paraId="258AF402">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200C5382">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22</w:t>
            </w:r>
          </w:p>
        </w:tc>
        <w:tc>
          <w:tcPr>
            <w:tcW w:w="1503" w:type="dxa"/>
            <w:tcBorders>
              <w:tl2br w:val="nil"/>
              <w:tr2bl w:val="nil"/>
            </w:tcBorders>
            <w:shd w:val="clear" w:color="auto" w:fill="auto"/>
            <w:noWrap/>
            <w:tcMar>
              <w:top w:w="15" w:type="dxa"/>
              <w:left w:w="15" w:type="dxa"/>
              <w:right w:w="15" w:type="dxa"/>
            </w:tcMar>
            <w:vAlign w:val="center"/>
          </w:tcPr>
          <w:p w14:paraId="2D9832A0">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7294D43D">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r>
      <w:tr w14:paraId="79B3DC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25D4E7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b w:val="0"/>
                <w:bCs/>
                <w:i w:val="0"/>
                <w:color w:val="000000"/>
                <w:sz w:val="21"/>
                <w:szCs w:val="21"/>
                <w:highlight w:val="none"/>
                <w:u w:val="none"/>
              </w:rPr>
            </w:pPr>
            <w:r>
              <w:rPr>
                <w:rFonts w:hint="eastAsia" w:ascii="Times New Roman" w:hAnsi="Times New Roman" w:eastAsia="宋体" w:cs="宋体"/>
                <w:b w:val="0"/>
                <w:bCs/>
                <w:i w:val="0"/>
                <w:color w:val="000000"/>
                <w:kern w:val="0"/>
                <w:sz w:val="21"/>
                <w:szCs w:val="21"/>
                <w:highlight w:val="none"/>
                <w:u w:val="none"/>
                <w:lang w:val="en-US" w:eastAsia="zh-CN" w:bidi="ar"/>
              </w:rPr>
              <w:t>11</w:t>
            </w:r>
          </w:p>
        </w:tc>
        <w:tc>
          <w:tcPr>
            <w:tcW w:w="3609" w:type="dxa"/>
            <w:tcBorders>
              <w:tl2br w:val="nil"/>
              <w:tr2bl w:val="nil"/>
            </w:tcBorders>
            <w:shd w:val="clear" w:color="auto" w:fill="auto"/>
            <w:noWrap/>
            <w:tcMar>
              <w:top w:w="15" w:type="dxa"/>
              <w:left w:w="15" w:type="dxa"/>
              <w:right w:w="15" w:type="dxa"/>
            </w:tcMar>
            <w:vAlign w:val="center"/>
          </w:tcPr>
          <w:p w14:paraId="52042CC7">
            <w:pPr>
              <w:keepNext w:val="0"/>
              <w:keepLines w:val="0"/>
              <w:widowControl/>
              <w:suppressLineNumbers w:val="0"/>
              <w:jc w:val="left"/>
              <w:textAlignment w:val="center"/>
              <w:rPr>
                <w:rFonts w:hint="eastAsia" w:ascii="Times New Roman" w:hAnsi="Times New Roman" w:eastAsia="宋体" w:cs="宋体"/>
                <w:b w:val="0"/>
                <w:bCs w:val="0"/>
                <w:i w:val="0"/>
                <w:color w:val="000000"/>
                <w:sz w:val="21"/>
                <w:szCs w:val="21"/>
                <w:highlight w:val="none"/>
                <w:u w:val="none"/>
              </w:rPr>
            </w:pPr>
            <w:r>
              <w:rPr>
                <w:rFonts w:hint="eastAsia" w:ascii="Times New Roman" w:hAnsi="Times New Roman" w:eastAsia="宋体" w:cs="宋体"/>
                <w:b w:val="0"/>
                <w:bCs w:val="0"/>
                <w:i w:val="0"/>
                <w:iCs w:val="0"/>
                <w:color w:val="000000"/>
                <w:kern w:val="0"/>
                <w:sz w:val="22"/>
                <w:szCs w:val="22"/>
                <w:u w:val="none"/>
                <w:lang w:val="en-US" w:eastAsia="zh-CN" w:bidi="ar"/>
              </w:rPr>
              <w:t>满40岁未满50岁已婚女性体检方案</w:t>
            </w:r>
          </w:p>
        </w:tc>
        <w:tc>
          <w:tcPr>
            <w:tcW w:w="1236" w:type="dxa"/>
            <w:tcBorders>
              <w:tl2br w:val="nil"/>
              <w:tr2bl w:val="nil"/>
            </w:tcBorders>
            <w:shd w:val="clear" w:color="auto" w:fill="auto"/>
            <w:noWrap/>
            <w:tcMar>
              <w:top w:w="15" w:type="dxa"/>
              <w:left w:w="15" w:type="dxa"/>
              <w:right w:w="15" w:type="dxa"/>
            </w:tcMar>
            <w:vAlign w:val="center"/>
          </w:tcPr>
          <w:p w14:paraId="7DC250E0">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3689054D">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28</w:t>
            </w:r>
          </w:p>
        </w:tc>
        <w:tc>
          <w:tcPr>
            <w:tcW w:w="1503" w:type="dxa"/>
            <w:tcBorders>
              <w:tl2br w:val="nil"/>
              <w:tr2bl w:val="nil"/>
            </w:tcBorders>
            <w:shd w:val="clear" w:color="auto" w:fill="auto"/>
            <w:noWrap/>
            <w:tcMar>
              <w:top w:w="15" w:type="dxa"/>
              <w:left w:w="15" w:type="dxa"/>
              <w:right w:w="15" w:type="dxa"/>
            </w:tcMar>
            <w:vAlign w:val="center"/>
          </w:tcPr>
          <w:p w14:paraId="05CB3BCA">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183B8FC3">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r>
      <w:tr w14:paraId="5F431A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567" w:type="dxa"/>
            <w:tcBorders>
              <w:tl2br w:val="nil"/>
              <w:tr2bl w:val="nil"/>
            </w:tcBorders>
            <w:shd w:val="clear" w:color="auto" w:fill="auto"/>
            <w:noWrap/>
            <w:tcMar>
              <w:top w:w="15" w:type="dxa"/>
              <w:left w:w="15" w:type="dxa"/>
              <w:right w:w="15" w:type="dxa"/>
            </w:tcMar>
            <w:vAlign w:val="center"/>
          </w:tcPr>
          <w:p w14:paraId="65A664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b w:val="0"/>
                <w:bCs/>
                <w:i w:val="0"/>
                <w:color w:val="000000"/>
                <w:sz w:val="21"/>
                <w:szCs w:val="21"/>
                <w:highlight w:val="none"/>
                <w:u w:val="none"/>
              </w:rPr>
            </w:pPr>
            <w:r>
              <w:rPr>
                <w:rFonts w:hint="eastAsia" w:ascii="Times New Roman" w:hAnsi="Times New Roman" w:eastAsia="宋体" w:cs="宋体"/>
                <w:b w:val="0"/>
                <w:bCs/>
                <w:i w:val="0"/>
                <w:color w:val="000000"/>
                <w:kern w:val="0"/>
                <w:sz w:val="21"/>
                <w:szCs w:val="21"/>
                <w:highlight w:val="none"/>
                <w:u w:val="none"/>
                <w:lang w:val="en-US" w:eastAsia="zh-CN" w:bidi="ar"/>
              </w:rPr>
              <w:t>12</w:t>
            </w:r>
          </w:p>
        </w:tc>
        <w:tc>
          <w:tcPr>
            <w:tcW w:w="3609" w:type="dxa"/>
            <w:tcBorders>
              <w:tl2br w:val="nil"/>
              <w:tr2bl w:val="nil"/>
            </w:tcBorders>
            <w:shd w:val="clear" w:color="auto" w:fill="auto"/>
            <w:noWrap/>
            <w:tcMar>
              <w:top w:w="15" w:type="dxa"/>
              <w:left w:w="15" w:type="dxa"/>
              <w:right w:w="15" w:type="dxa"/>
            </w:tcMar>
            <w:vAlign w:val="center"/>
          </w:tcPr>
          <w:p w14:paraId="7E8B2E69">
            <w:pPr>
              <w:keepNext w:val="0"/>
              <w:keepLines w:val="0"/>
              <w:widowControl/>
              <w:suppressLineNumbers w:val="0"/>
              <w:jc w:val="left"/>
              <w:textAlignment w:val="center"/>
              <w:rPr>
                <w:rFonts w:hint="eastAsia" w:ascii="Times New Roman" w:hAnsi="Times New Roman" w:eastAsia="宋体" w:cs="宋体"/>
                <w:b w:val="0"/>
                <w:bCs w:val="0"/>
                <w:i w:val="0"/>
                <w:color w:val="000000"/>
                <w:sz w:val="21"/>
                <w:szCs w:val="21"/>
                <w:highlight w:val="none"/>
                <w:u w:val="none"/>
              </w:rPr>
            </w:pPr>
            <w:r>
              <w:rPr>
                <w:rFonts w:hint="eastAsia" w:ascii="Times New Roman" w:hAnsi="Times New Roman" w:eastAsia="宋体" w:cs="宋体"/>
                <w:b w:val="0"/>
                <w:bCs w:val="0"/>
                <w:i w:val="0"/>
                <w:iCs w:val="0"/>
                <w:color w:val="000000"/>
                <w:kern w:val="0"/>
                <w:sz w:val="22"/>
                <w:szCs w:val="22"/>
                <w:u w:val="none"/>
                <w:lang w:val="en-US" w:eastAsia="zh-CN" w:bidi="ar"/>
              </w:rPr>
              <w:t>50岁及以上已婚女性体检方案</w:t>
            </w:r>
          </w:p>
        </w:tc>
        <w:tc>
          <w:tcPr>
            <w:tcW w:w="1236" w:type="dxa"/>
            <w:tcBorders>
              <w:tl2br w:val="nil"/>
              <w:tr2bl w:val="nil"/>
            </w:tcBorders>
            <w:shd w:val="clear" w:color="auto" w:fill="auto"/>
            <w:noWrap/>
            <w:tcMar>
              <w:top w:w="15" w:type="dxa"/>
              <w:left w:w="15" w:type="dxa"/>
              <w:right w:w="15" w:type="dxa"/>
            </w:tcMar>
            <w:vAlign w:val="center"/>
          </w:tcPr>
          <w:p w14:paraId="65B8E87E">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14:paraId="53C09513">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6</w:t>
            </w:r>
          </w:p>
        </w:tc>
        <w:tc>
          <w:tcPr>
            <w:tcW w:w="1503" w:type="dxa"/>
            <w:tcBorders>
              <w:tl2br w:val="nil"/>
              <w:tr2bl w:val="nil"/>
            </w:tcBorders>
            <w:shd w:val="clear" w:color="auto" w:fill="auto"/>
            <w:noWrap/>
            <w:tcMar>
              <w:top w:w="15" w:type="dxa"/>
              <w:left w:w="15" w:type="dxa"/>
              <w:right w:w="15" w:type="dxa"/>
            </w:tcMar>
            <w:vAlign w:val="center"/>
          </w:tcPr>
          <w:p w14:paraId="4ADE4336">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181D4C5D">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r>
      <w:tr w14:paraId="0750E8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08" w:hRule="atLeast"/>
          <w:jc w:val="center"/>
        </w:trPr>
        <w:tc>
          <w:tcPr>
            <w:tcW w:w="4176" w:type="dxa"/>
            <w:gridSpan w:val="2"/>
            <w:tcBorders>
              <w:tl2br w:val="nil"/>
              <w:tr2bl w:val="nil"/>
            </w:tcBorders>
            <w:shd w:val="clear" w:color="auto" w:fill="auto"/>
            <w:noWrap/>
            <w:tcMar>
              <w:top w:w="15" w:type="dxa"/>
              <w:left w:w="15" w:type="dxa"/>
              <w:right w:w="15" w:type="dxa"/>
            </w:tcMar>
            <w:vAlign w:val="center"/>
          </w:tcPr>
          <w:p w14:paraId="7489C8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宋体" w:cs="宋体"/>
                <w:b/>
                <w:bCs w:val="0"/>
                <w:i w:val="0"/>
                <w:color w:val="000000"/>
                <w:sz w:val="21"/>
                <w:szCs w:val="21"/>
                <w:highlight w:val="none"/>
                <w:u w:val="none"/>
              </w:rPr>
            </w:pPr>
            <w:r>
              <w:rPr>
                <w:rFonts w:hint="eastAsia" w:ascii="Times New Roman" w:hAnsi="Times New Roman" w:eastAsia="宋体" w:cs="宋体"/>
                <w:b/>
                <w:bCs w:val="0"/>
                <w:i w:val="0"/>
                <w:color w:val="000000"/>
                <w:kern w:val="0"/>
                <w:sz w:val="21"/>
                <w:szCs w:val="21"/>
                <w:highlight w:val="none"/>
                <w:u w:val="none"/>
                <w:lang w:val="en-US" w:eastAsia="zh-CN" w:bidi="ar"/>
              </w:rPr>
              <w:t>项目总报价</w:t>
            </w:r>
          </w:p>
        </w:tc>
        <w:tc>
          <w:tcPr>
            <w:tcW w:w="1236" w:type="dxa"/>
            <w:tcBorders>
              <w:tl2br w:val="nil"/>
              <w:tr2bl w:val="nil"/>
            </w:tcBorders>
            <w:shd w:val="clear" w:color="auto" w:fill="auto"/>
            <w:noWrap/>
            <w:tcMar>
              <w:top w:w="15" w:type="dxa"/>
              <w:left w:w="15" w:type="dxa"/>
              <w:right w:w="15" w:type="dxa"/>
            </w:tcMar>
            <w:vAlign w:val="center"/>
          </w:tcPr>
          <w:p w14:paraId="5CB1F59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宋体"/>
                <w:b/>
                <w:bCs w:val="0"/>
                <w:i w:val="0"/>
                <w:color w:val="000000"/>
                <w:sz w:val="21"/>
                <w:szCs w:val="21"/>
                <w:highlight w:val="none"/>
                <w:u w:val="none"/>
                <w:lang w:val="en-US" w:eastAsia="zh-CN"/>
              </w:rPr>
            </w:pPr>
            <w:r>
              <w:rPr>
                <w:rFonts w:hint="eastAsia" w:ascii="Times New Roman" w:hAnsi="Times New Roman" w:eastAsia="宋体" w:cs="宋体"/>
                <w:b/>
                <w:bCs w:val="0"/>
                <w:i w:val="0"/>
                <w:color w:val="000000"/>
                <w:sz w:val="21"/>
                <w:szCs w:val="21"/>
                <w:highlight w:val="none"/>
                <w:u w:val="none"/>
                <w:lang w:val="en-US" w:eastAsia="zh-CN"/>
              </w:rPr>
              <w:t>/</w:t>
            </w:r>
          </w:p>
        </w:tc>
        <w:tc>
          <w:tcPr>
            <w:tcW w:w="1452" w:type="dxa"/>
            <w:tcBorders>
              <w:tl2br w:val="nil"/>
              <w:tr2bl w:val="nil"/>
            </w:tcBorders>
            <w:shd w:val="clear" w:color="auto" w:fill="auto"/>
            <w:noWrap/>
            <w:tcMar>
              <w:top w:w="15" w:type="dxa"/>
              <w:left w:w="15" w:type="dxa"/>
              <w:right w:w="15" w:type="dxa"/>
            </w:tcMar>
            <w:vAlign w:val="center"/>
          </w:tcPr>
          <w:p w14:paraId="727063B1">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2"/>
                <w:szCs w:val="22"/>
                <w:u w:val="none"/>
                <w:lang w:val="en-US" w:eastAsia="zh-CN" w:bidi="ar"/>
              </w:rPr>
            </w:pPr>
            <w:r>
              <w:rPr>
                <w:rFonts w:hint="eastAsia" w:ascii="Times New Roman" w:hAnsi="Times New Roman" w:eastAsia="宋体" w:cs="宋体"/>
                <w:b w:val="0"/>
                <w:bCs w:val="0"/>
                <w:i w:val="0"/>
                <w:iCs w:val="0"/>
                <w:color w:val="000000"/>
                <w:kern w:val="0"/>
                <w:sz w:val="22"/>
                <w:szCs w:val="22"/>
                <w:u w:val="none"/>
                <w:lang w:val="en-US" w:eastAsia="zh-CN" w:bidi="ar"/>
              </w:rPr>
              <w:t>146</w:t>
            </w:r>
          </w:p>
        </w:tc>
        <w:tc>
          <w:tcPr>
            <w:tcW w:w="1503" w:type="dxa"/>
            <w:tcBorders>
              <w:tl2br w:val="nil"/>
              <w:tr2bl w:val="nil"/>
            </w:tcBorders>
            <w:shd w:val="clear" w:color="auto" w:fill="auto"/>
            <w:noWrap/>
            <w:tcMar>
              <w:top w:w="15" w:type="dxa"/>
              <w:left w:w="15" w:type="dxa"/>
              <w:right w:w="15" w:type="dxa"/>
            </w:tcMar>
            <w:vAlign w:val="center"/>
          </w:tcPr>
          <w:p w14:paraId="6584836D">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c>
          <w:tcPr>
            <w:tcW w:w="1649" w:type="dxa"/>
            <w:tcBorders>
              <w:tl2br w:val="nil"/>
              <w:tr2bl w:val="nil"/>
            </w:tcBorders>
            <w:shd w:val="clear" w:color="auto" w:fill="auto"/>
            <w:noWrap/>
            <w:tcMar>
              <w:top w:w="15" w:type="dxa"/>
              <w:left w:w="15" w:type="dxa"/>
              <w:right w:w="15" w:type="dxa"/>
            </w:tcMar>
            <w:vAlign w:val="center"/>
          </w:tcPr>
          <w:p w14:paraId="37C983D4">
            <w:pPr>
              <w:keepNext w:val="0"/>
              <w:keepLines w:val="0"/>
              <w:pageBreakBefore w:val="0"/>
              <w:kinsoku/>
              <w:wordWrap/>
              <w:overflowPunct/>
              <w:topLinePunct w:val="0"/>
              <w:autoSpaceDE/>
              <w:autoSpaceDN/>
              <w:bidi w:val="0"/>
              <w:adjustRightInd/>
              <w:snapToGrid/>
              <w:spacing w:line="280" w:lineRule="exact"/>
              <w:rPr>
                <w:rFonts w:hint="eastAsia" w:ascii="Times New Roman" w:hAnsi="Times New Roman" w:eastAsia="宋体" w:cs="宋体"/>
                <w:b w:val="0"/>
                <w:bCs/>
                <w:i w:val="0"/>
                <w:color w:val="000000"/>
                <w:sz w:val="21"/>
                <w:szCs w:val="21"/>
                <w:highlight w:val="none"/>
                <w:u w:val="none"/>
              </w:rPr>
            </w:pPr>
          </w:p>
        </w:tc>
      </w:tr>
    </w:tbl>
    <w:p w14:paraId="7E4FD15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_GB2312" w:cs="仿宋"/>
          <w:b w:val="0"/>
          <w:bCs/>
          <w:sz w:val="21"/>
          <w:szCs w:val="21"/>
          <w:highlight w:val="none"/>
        </w:rPr>
      </w:pPr>
      <w:r>
        <w:rPr>
          <w:rFonts w:hint="eastAsia" w:ascii="Times New Roman" w:hAnsi="Times New Roman" w:eastAsia="仿宋_GB2312" w:cs="仿宋"/>
          <w:b w:val="0"/>
          <w:bCs/>
          <w:sz w:val="21"/>
          <w:szCs w:val="21"/>
          <w:highlight w:val="none"/>
        </w:rPr>
        <w:t xml:space="preserve">说明： </w:t>
      </w:r>
    </w:p>
    <w:p w14:paraId="0F8CE30C">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rPr>
        <w:t>1.本表仅作为开标信息一览，实际报价以投标人投标文件中提交的报价表为准，但数据应保持一致，否则应由投标人进行澄清，澄清后价格不可突破投标报价上限，如拒不澄清或澄清后价格突破投标文件中报价上限的，按废标处理；</w:t>
      </w:r>
    </w:p>
    <w:p w14:paraId="6399E3F9">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rPr>
        <w:t>2.投标人如需对报价或其它内容加以说明，可在备注栏填写；</w:t>
      </w:r>
    </w:p>
    <w:p w14:paraId="13C23D92">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rPr>
        <w:t>3.此表应经法定代表人或授权代表人签名，并加盖投标人单位公章，否则无效，作废标处理。</w:t>
      </w:r>
    </w:p>
    <w:p w14:paraId="76F82529">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rPr>
        <w:t>4.投标金额大小写不一致的以大写为准。电子文档与纸质文档不一致的以纸质文档为准。正本与副本不一致的以正本为准。总价与计算结果不一致的以分项计算结果为准。</w:t>
      </w:r>
    </w:p>
    <w:p w14:paraId="70759406">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rPr>
        <w:t>5.投标总报价不得超过本项目限价</w:t>
      </w:r>
      <w:r>
        <w:rPr>
          <w:rFonts w:hint="eastAsia" w:ascii="仿宋_GB2312" w:hAnsi="仿宋_GB2312" w:eastAsia="仿宋_GB2312" w:cs="仿宋_GB2312"/>
          <w:b w:val="0"/>
          <w:bCs/>
          <w:sz w:val="21"/>
          <w:szCs w:val="21"/>
          <w:highlight w:val="none"/>
          <w:lang w:val="en-US" w:eastAsia="zh-CN"/>
        </w:rPr>
        <w:t>人民币</w:t>
      </w:r>
      <w:r>
        <w:rPr>
          <w:rFonts w:hint="default" w:ascii="Times New Roman" w:hAnsi="Times New Roman" w:eastAsia="仿宋_GB2312" w:cs="Times New Roman"/>
          <w:b w:val="0"/>
          <w:bCs/>
          <w:sz w:val="21"/>
          <w:szCs w:val="21"/>
          <w:highlight w:val="none"/>
          <w:lang w:val="en-US" w:eastAsia="zh-CN"/>
        </w:rPr>
        <w:t>377500</w:t>
      </w:r>
      <w:r>
        <w:rPr>
          <w:rFonts w:hint="default" w:ascii="Times New Roman" w:hAnsi="Times New Roman" w:eastAsia="仿宋_GB2312" w:cs="Times New Roman"/>
          <w:b w:val="0"/>
          <w:bCs/>
          <w:sz w:val="21"/>
          <w:szCs w:val="21"/>
          <w:highlight w:val="none"/>
        </w:rPr>
        <w:t>元</w:t>
      </w:r>
      <w:r>
        <w:rPr>
          <w:rFonts w:hint="default" w:ascii="Times New Roman" w:hAnsi="Times New Roman" w:eastAsia="仿宋_GB2312" w:cs="Times New Roman"/>
          <w:b w:val="0"/>
          <w:bCs/>
          <w:sz w:val="21"/>
          <w:szCs w:val="21"/>
          <w:highlight w:val="none"/>
          <w:lang w:eastAsia="zh-CN"/>
        </w:rPr>
        <w:t>（</w:t>
      </w:r>
      <w:r>
        <w:rPr>
          <w:rFonts w:hint="eastAsia" w:ascii="仿宋_GB2312" w:hAnsi="仿宋_GB2312" w:eastAsia="仿宋_GB2312" w:cs="仿宋_GB2312"/>
          <w:b w:val="0"/>
          <w:bCs/>
          <w:sz w:val="21"/>
          <w:szCs w:val="21"/>
          <w:highlight w:val="none"/>
          <w:lang w:val="en-US" w:eastAsia="zh-CN"/>
        </w:rPr>
        <w:t>含增值税）</w:t>
      </w:r>
      <w:r>
        <w:rPr>
          <w:rFonts w:hint="eastAsia" w:ascii="仿宋_GB2312" w:hAnsi="仿宋_GB2312" w:eastAsia="仿宋_GB2312" w:cs="仿宋_GB2312"/>
          <w:b w:val="0"/>
          <w:bCs/>
          <w:sz w:val="21"/>
          <w:szCs w:val="21"/>
          <w:highlight w:val="none"/>
        </w:rPr>
        <w:t>，否则按废标处理。</w:t>
      </w:r>
    </w:p>
    <w:p w14:paraId="615DBEF7">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 w:hAnsi="仿宋" w:eastAsia="仿宋" w:cs="仿宋"/>
          <w:b w:val="0"/>
          <w:bCs/>
          <w:sz w:val="24"/>
          <w:szCs w:val="24"/>
          <w:highlight w:val="none"/>
        </w:rPr>
      </w:pPr>
    </w:p>
    <w:p w14:paraId="33DFE785">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 w:hAnsi="仿宋" w:eastAsia="仿宋" w:cs="仿宋"/>
          <w:b w:val="0"/>
          <w:bCs/>
          <w:sz w:val="24"/>
          <w:szCs w:val="24"/>
          <w:highlight w:val="none"/>
        </w:rPr>
      </w:pPr>
    </w:p>
    <w:p w14:paraId="03CC0EF8">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投标人（盖章）：</w:t>
      </w:r>
    </w:p>
    <w:p w14:paraId="4FBD6F5A">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法定代表人（或授权委托人）签名：</w:t>
      </w:r>
    </w:p>
    <w:p w14:paraId="796AE681">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z w:val="24"/>
          <w:szCs w:val="24"/>
          <w:highlight w:val="none"/>
        </w:rPr>
        <w:sectPr>
          <w:headerReference r:id="rId7" w:type="default"/>
          <w:footerReference r:id="rId8" w:type="default"/>
          <w:pgSz w:w="11907" w:h="16840"/>
          <w:pgMar w:top="2098" w:right="1474" w:bottom="1984" w:left="1587" w:header="1417" w:footer="603" w:gutter="0"/>
          <w:pgBorders>
            <w:top w:val="none" w:sz="0" w:space="0"/>
            <w:left w:val="none" w:sz="0" w:space="0"/>
            <w:bottom w:val="none" w:sz="0" w:space="0"/>
            <w:right w:val="none" w:sz="0" w:space="0"/>
          </w:pgBorders>
          <w:pgNumType w:fmt="decimal"/>
          <w:cols w:space="720" w:num="1"/>
          <w:docGrid w:linePitch="462" w:charSpace="0"/>
        </w:sectPr>
      </w:pPr>
      <w:r>
        <w:rPr>
          <w:rFonts w:hint="eastAsia" w:ascii="仿宋_GB2312" w:hAnsi="仿宋_GB2312" w:eastAsia="仿宋_GB2312" w:cs="仿宋_GB2312"/>
          <w:b w:val="0"/>
          <w:bCs/>
          <w:sz w:val="24"/>
          <w:szCs w:val="24"/>
          <w:highlight w:val="none"/>
        </w:rPr>
        <w:t>日   期：</w:t>
      </w:r>
    </w:p>
    <w:p w14:paraId="78BC93AE">
      <w:pPr>
        <w:pStyle w:val="4"/>
        <w:pageBreakBefore w:val="0"/>
        <w:kinsoku/>
        <w:overflowPunct/>
        <w:topLinePunct w:val="0"/>
        <w:autoSpaceDE/>
        <w:autoSpaceDN/>
        <w:bidi w:val="0"/>
        <w:spacing w:line="560" w:lineRule="exact"/>
        <w:ind w:firstLine="0" w:firstLineChars="0"/>
        <w:jc w:val="left"/>
        <w:rPr>
          <w:rFonts w:hint="eastAsia" w:ascii="仿宋_GB2312" w:hAnsi="仿宋_GB2312" w:eastAsia="仿宋_GB2312" w:cs="仿宋_GB2312"/>
          <w:b w:val="0"/>
          <w:bCs/>
          <w:sz w:val="24"/>
          <w:szCs w:val="24"/>
          <w:highlight w:val="none"/>
        </w:rPr>
      </w:pPr>
      <w:bookmarkStart w:id="58" w:name="_Toc16974"/>
      <w:bookmarkStart w:id="59" w:name="_Toc21663"/>
      <w:r>
        <w:rPr>
          <w:rFonts w:hint="eastAsia" w:ascii="仿宋_GB2312" w:hAnsi="仿宋_GB2312" w:eastAsia="仿宋_GB2312" w:cs="仿宋_GB2312"/>
          <w:b w:val="0"/>
          <w:bCs/>
          <w:sz w:val="24"/>
          <w:szCs w:val="24"/>
          <w:highlight w:val="none"/>
        </w:rPr>
        <w:t>格式</w:t>
      </w:r>
      <w:r>
        <w:rPr>
          <w:rFonts w:hint="eastAsia" w:ascii="仿宋_GB2312" w:hAnsi="仿宋_GB2312" w:eastAsia="仿宋_GB2312" w:cs="仿宋_GB2312"/>
          <w:b w:val="0"/>
          <w:bCs/>
          <w:sz w:val="24"/>
          <w:szCs w:val="24"/>
          <w:highlight w:val="none"/>
          <w:lang w:val="en-US" w:eastAsia="zh-CN"/>
        </w:rPr>
        <w:t>3</w:t>
      </w:r>
      <w:r>
        <w:rPr>
          <w:rFonts w:hint="eastAsia" w:ascii="仿宋_GB2312" w:hAnsi="仿宋_GB2312" w:eastAsia="仿宋_GB2312" w:cs="仿宋_GB2312"/>
          <w:b w:val="0"/>
          <w:bCs/>
          <w:sz w:val="24"/>
          <w:szCs w:val="24"/>
          <w:highlight w:val="none"/>
        </w:rPr>
        <w:t>：</w:t>
      </w:r>
      <w:r>
        <w:rPr>
          <w:rFonts w:hint="eastAsia" w:ascii="仿宋_GB2312" w:hAnsi="仿宋_GB2312" w:eastAsia="仿宋_GB2312" w:cs="仿宋_GB2312"/>
          <w:b w:val="0"/>
          <w:bCs/>
          <w:sz w:val="24"/>
          <w:szCs w:val="24"/>
          <w:highlight w:val="none"/>
          <w:lang w:eastAsia="zh-CN"/>
        </w:rPr>
        <w:t>体检方案及</w:t>
      </w:r>
      <w:r>
        <w:rPr>
          <w:rFonts w:hint="eastAsia" w:ascii="仿宋_GB2312" w:hAnsi="仿宋_GB2312" w:eastAsia="仿宋_GB2312" w:cs="仿宋_GB2312"/>
          <w:b w:val="0"/>
          <w:bCs/>
          <w:sz w:val="24"/>
          <w:szCs w:val="24"/>
          <w:highlight w:val="none"/>
        </w:rPr>
        <w:t>报价表</w:t>
      </w:r>
      <w:bookmarkEnd w:id="58"/>
    </w:p>
    <w:p w14:paraId="11041F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sz w:val="32"/>
          <w:szCs w:val="32"/>
          <w:highlight w:val="none"/>
          <w:lang w:val="en-US" w:eastAsia="zh-CN"/>
        </w:rPr>
      </w:pPr>
      <w:r>
        <w:rPr>
          <w:rFonts w:hint="eastAsia" w:ascii="Times New Roman" w:hAnsi="Times New Roman" w:eastAsia="仿宋_GB2312" w:cs="仿宋_GB2312"/>
          <w:b w:val="0"/>
          <w:bCs/>
          <w:sz w:val="32"/>
          <w:szCs w:val="32"/>
          <w:highlight w:val="none"/>
          <w:lang w:eastAsia="zh-CN"/>
        </w:rPr>
        <w:t>见</w:t>
      </w:r>
      <w:r>
        <w:rPr>
          <w:rFonts w:hint="eastAsia" w:ascii="Times New Roman" w:hAnsi="Times New Roman" w:eastAsia="仿宋_GB2312" w:cs="仿宋_GB2312"/>
          <w:b w:val="0"/>
          <w:bCs/>
          <w:sz w:val="32"/>
          <w:szCs w:val="32"/>
          <w:highlight w:val="none"/>
          <w:lang w:val="en-US" w:eastAsia="zh-CN"/>
        </w:rPr>
        <w:t>公开招标</w:t>
      </w:r>
      <w:r>
        <w:rPr>
          <w:rFonts w:hint="eastAsia" w:ascii="Times New Roman" w:hAnsi="Times New Roman" w:eastAsia="仿宋_GB2312" w:cs="仿宋_GB2312"/>
          <w:b w:val="0"/>
          <w:bCs/>
          <w:sz w:val="32"/>
          <w:szCs w:val="32"/>
          <w:highlight w:val="none"/>
          <w:lang w:eastAsia="zh-CN"/>
        </w:rPr>
        <w:t>公告附件</w:t>
      </w:r>
      <w:r>
        <w:rPr>
          <w:rFonts w:hint="eastAsia" w:ascii="Times New Roman" w:hAnsi="Times New Roman" w:eastAsia="仿宋_GB2312" w:cs="仿宋_GB2312"/>
          <w:b w:val="0"/>
          <w:bCs/>
          <w:sz w:val="32"/>
          <w:szCs w:val="32"/>
          <w:highlight w:val="none"/>
          <w:lang w:val="en-US" w:eastAsia="zh-CN"/>
        </w:rPr>
        <w:t>3《深圳市鹏劳人力资源管理有限公司2025年度员工健康体检项目（二次）体检方案及报价表》</w:t>
      </w:r>
    </w:p>
    <w:p w14:paraId="64DBC78D">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14:paraId="0005DE61">
      <w:pPr>
        <w:rPr>
          <w:rFonts w:hint="eastAsia" w:ascii="仿宋" w:hAnsi="仿宋" w:eastAsia="仿宋" w:cs="仿宋"/>
          <w:b w:val="0"/>
          <w:bCs/>
          <w:sz w:val="32"/>
          <w:szCs w:val="32"/>
          <w:highlight w:val="none"/>
          <w:lang w:val="zh-CN"/>
        </w:rPr>
      </w:pPr>
    </w:p>
    <w:p w14:paraId="7CBEFF8D">
      <w:pPr>
        <w:rPr>
          <w:rFonts w:hint="eastAsia" w:ascii="仿宋" w:hAnsi="仿宋" w:eastAsia="仿宋" w:cs="仿宋"/>
          <w:b w:val="0"/>
          <w:bCs/>
          <w:sz w:val="32"/>
          <w:szCs w:val="32"/>
          <w:highlight w:val="none"/>
          <w:lang w:val="zh-CN"/>
        </w:rPr>
      </w:pPr>
    </w:p>
    <w:p w14:paraId="2B1ADC62">
      <w:pPr>
        <w:rPr>
          <w:rFonts w:hint="eastAsia" w:ascii="仿宋" w:hAnsi="仿宋" w:eastAsia="仿宋" w:cs="仿宋"/>
          <w:b w:val="0"/>
          <w:bCs/>
          <w:sz w:val="32"/>
          <w:szCs w:val="32"/>
          <w:highlight w:val="none"/>
          <w:lang w:val="zh-CN"/>
        </w:rPr>
      </w:pPr>
    </w:p>
    <w:p w14:paraId="0145B0FB">
      <w:pPr>
        <w:rPr>
          <w:rFonts w:hint="eastAsia" w:ascii="仿宋" w:hAnsi="仿宋" w:eastAsia="仿宋" w:cs="仿宋"/>
          <w:b w:val="0"/>
          <w:bCs/>
          <w:sz w:val="32"/>
          <w:szCs w:val="32"/>
          <w:highlight w:val="none"/>
          <w:lang w:val="zh-CN"/>
        </w:rPr>
      </w:pPr>
    </w:p>
    <w:p w14:paraId="6068E7EC">
      <w:pPr>
        <w:rPr>
          <w:rFonts w:hint="eastAsia" w:ascii="仿宋" w:hAnsi="仿宋" w:eastAsia="仿宋" w:cs="仿宋"/>
          <w:b w:val="0"/>
          <w:bCs/>
          <w:sz w:val="32"/>
          <w:szCs w:val="32"/>
          <w:highlight w:val="none"/>
          <w:lang w:val="zh-CN"/>
        </w:rPr>
      </w:pPr>
    </w:p>
    <w:p w14:paraId="7C8773F0">
      <w:pPr>
        <w:rPr>
          <w:rFonts w:hint="eastAsia" w:ascii="仿宋" w:hAnsi="仿宋" w:eastAsia="仿宋" w:cs="仿宋"/>
          <w:b w:val="0"/>
          <w:bCs/>
          <w:sz w:val="32"/>
          <w:szCs w:val="32"/>
          <w:highlight w:val="none"/>
          <w:lang w:val="zh-CN"/>
        </w:rPr>
      </w:pPr>
    </w:p>
    <w:p w14:paraId="5CE9FEC0">
      <w:pPr>
        <w:rPr>
          <w:rFonts w:hint="eastAsia" w:ascii="仿宋" w:hAnsi="仿宋" w:eastAsia="仿宋" w:cs="仿宋"/>
          <w:b w:val="0"/>
          <w:bCs/>
          <w:sz w:val="32"/>
          <w:szCs w:val="32"/>
          <w:highlight w:val="none"/>
          <w:lang w:val="zh-CN"/>
        </w:rPr>
      </w:pPr>
    </w:p>
    <w:p w14:paraId="59A3D78C">
      <w:pPr>
        <w:rPr>
          <w:rFonts w:hint="eastAsia" w:ascii="仿宋" w:hAnsi="仿宋" w:eastAsia="仿宋" w:cs="仿宋"/>
          <w:b w:val="0"/>
          <w:bCs/>
          <w:sz w:val="32"/>
          <w:szCs w:val="32"/>
          <w:highlight w:val="none"/>
          <w:lang w:val="zh-CN"/>
        </w:rPr>
      </w:pPr>
    </w:p>
    <w:p w14:paraId="49C8A970">
      <w:pPr>
        <w:rPr>
          <w:rFonts w:hint="eastAsia" w:ascii="仿宋" w:hAnsi="仿宋" w:eastAsia="仿宋" w:cs="仿宋"/>
          <w:b w:val="0"/>
          <w:bCs/>
          <w:sz w:val="32"/>
          <w:szCs w:val="32"/>
          <w:highlight w:val="none"/>
          <w:lang w:val="zh-CN"/>
        </w:rPr>
      </w:pPr>
    </w:p>
    <w:p w14:paraId="44B46949">
      <w:pPr>
        <w:rPr>
          <w:rFonts w:hint="eastAsia" w:ascii="仿宋" w:hAnsi="仿宋" w:eastAsia="仿宋" w:cs="仿宋"/>
          <w:b w:val="0"/>
          <w:bCs/>
          <w:sz w:val="32"/>
          <w:szCs w:val="32"/>
          <w:highlight w:val="none"/>
          <w:lang w:val="zh-CN"/>
        </w:rPr>
      </w:pPr>
    </w:p>
    <w:p w14:paraId="7902D38E">
      <w:pPr>
        <w:rPr>
          <w:rFonts w:hint="eastAsia" w:ascii="仿宋" w:hAnsi="仿宋" w:eastAsia="仿宋" w:cs="仿宋"/>
          <w:b w:val="0"/>
          <w:bCs/>
          <w:sz w:val="32"/>
          <w:szCs w:val="32"/>
          <w:highlight w:val="none"/>
          <w:lang w:val="zh-CN"/>
        </w:rPr>
      </w:pPr>
    </w:p>
    <w:p w14:paraId="1BE623C1">
      <w:pPr>
        <w:rPr>
          <w:rFonts w:hint="eastAsia" w:ascii="仿宋" w:hAnsi="仿宋" w:eastAsia="仿宋" w:cs="仿宋"/>
          <w:b w:val="0"/>
          <w:bCs/>
          <w:sz w:val="32"/>
          <w:szCs w:val="32"/>
          <w:highlight w:val="none"/>
          <w:lang w:val="zh-CN"/>
        </w:rPr>
      </w:pPr>
    </w:p>
    <w:p w14:paraId="62C21784">
      <w:pPr>
        <w:rPr>
          <w:rFonts w:hint="eastAsia" w:ascii="仿宋" w:hAnsi="仿宋" w:eastAsia="仿宋" w:cs="仿宋"/>
          <w:b w:val="0"/>
          <w:bCs/>
          <w:sz w:val="32"/>
          <w:szCs w:val="32"/>
          <w:highlight w:val="none"/>
          <w:lang w:val="zh-CN"/>
        </w:rPr>
      </w:pPr>
    </w:p>
    <w:p w14:paraId="0A3BFDC5">
      <w:pPr>
        <w:rPr>
          <w:rFonts w:hint="eastAsia" w:ascii="仿宋" w:hAnsi="仿宋" w:eastAsia="仿宋" w:cs="仿宋"/>
          <w:b w:val="0"/>
          <w:bCs/>
          <w:sz w:val="32"/>
          <w:szCs w:val="32"/>
          <w:highlight w:val="none"/>
          <w:lang w:val="zh-CN"/>
        </w:rPr>
      </w:pPr>
    </w:p>
    <w:p w14:paraId="59EDA978">
      <w:pPr>
        <w:rPr>
          <w:rFonts w:hint="eastAsia" w:ascii="仿宋" w:hAnsi="仿宋" w:eastAsia="仿宋" w:cs="仿宋"/>
          <w:b w:val="0"/>
          <w:bCs/>
          <w:sz w:val="32"/>
          <w:szCs w:val="32"/>
          <w:highlight w:val="none"/>
          <w:lang w:val="zh-CN"/>
        </w:rPr>
      </w:pPr>
    </w:p>
    <w:p w14:paraId="51C8EE73">
      <w:pPr>
        <w:rPr>
          <w:rFonts w:hint="eastAsia" w:ascii="仿宋" w:hAnsi="仿宋" w:eastAsia="仿宋" w:cs="仿宋"/>
          <w:b w:val="0"/>
          <w:bCs/>
          <w:sz w:val="32"/>
          <w:szCs w:val="32"/>
          <w:highlight w:val="none"/>
          <w:lang w:val="zh-CN"/>
        </w:rPr>
      </w:pPr>
    </w:p>
    <w:p w14:paraId="05BDD0D7">
      <w:pPr>
        <w:rPr>
          <w:rFonts w:hint="eastAsia" w:ascii="仿宋" w:hAnsi="仿宋" w:eastAsia="仿宋" w:cs="仿宋"/>
          <w:b w:val="0"/>
          <w:bCs/>
          <w:sz w:val="32"/>
          <w:szCs w:val="32"/>
          <w:highlight w:val="none"/>
          <w:lang w:val="zh-CN"/>
        </w:rPr>
      </w:pPr>
    </w:p>
    <w:p w14:paraId="39CAE52B">
      <w:pPr>
        <w:rPr>
          <w:rFonts w:hint="eastAsia" w:ascii="仿宋" w:hAnsi="仿宋" w:eastAsia="仿宋" w:cs="仿宋"/>
          <w:b w:val="0"/>
          <w:bCs/>
          <w:sz w:val="32"/>
          <w:szCs w:val="32"/>
          <w:highlight w:val="none"/>
          <w:lang w:val="zh-CN"/>
        </w:rPr>
      </w:pPr>
    </w:p>
    <w:p w14:paraId="65630CA4">
      <w:pPr>
        <w:rPr>
          <w:rFonts w:hint="eastAsia" w:ascii="仿宋" w:hAnsi="仿宋" w:eastAsia="仿宋" w:cs="仿宋"/>
          <w:b w:val="0"/>
          <w:bCs/>
          <w:sz w:val="32"/>
          <w:szCs w:val="32"/>
          <w:highlight w:val="none"/>
          <w:lang w:val="zh-CN"/>
        </w:rPr>
      </w:pPr>
    </w:p>
    <w:p w14:paraId="73D06671">
      <w:pPr>
        <w:rPr>
          <w:rFonts w:hint="eastAsia" w:ascii="仿宋" w:hAnsi="仿宋" w:eastAsia="仿宋" w:cs="仿宋"/>
          <w:b w:val="0"/>
          <w:bCs/>
          <w:sz w:val="32"/>
          <w:szCs w:val="32"/>
          <w:highlight w:val="none"/>
          <w:lang w:val="zh-CN"/>
        </w:rPr>
      </w:pPr>
    </w:p>
    <w:p w14:paraId="659C904C">
      <w:pPr>
        <w:rPr>
          <w:rFonts w:hint="eastAsia" w:ascii="仿宋" w:hAnsi="仿宋" w:eastAsia="仿宋" w:cs="仿宋"/>
          <w:b w:val="0"/>
          <w:bCs/>
          <w:sz w:val="32"/>
          <w:szCs w:val="32"/>
          <w:highlight w:val="none"/>
          <w:lang w:val="zh-CN"/>
        </w:rPr>
      </w:pPr>
    </w:p>
    <w:p w14:paraId="5939AA31">
      <w:pPr>
        <w:rPr>
          <w:rFonts w:hint="eastAsia" w:ascii="仿宋" w:hAnsi="仿宋" w:eastAsia="仿宋" w:cs="仿宋"/>
          <w:b w:val="0"/>
          <w:bCs/>
          <w:sz w:val="32"/>
          <w:szCs w:val="32"/>
          <w:highlight w:val="none"/>
          <w:lang w:val="zh-CN"/>
        </w:rPr>
      </w:pPr>
    </w:p>
    <w:p w14:paraId="4634CDCB">
      <w:pPr>
        <w:rPr>
          <w:rFonts w:hint="eastAsia" w:ascii="仿宋" w:hAnsi="仿宋" w:eastAsia="仿宋" w:cs="仿宋"/>
          <w:b w:val="0"/>
          <w:bCs/>
          <w:sz w:val="32"/>
          <w:szCs w:val="32"/>
          <w:highlight w:val="none"/>
          <w:lang w:val="zh-CN"/>
        </w:rPr>
      </w:pPr>
    </w:p>
    <w:p w14:paraId="7C9129A8">
      <w:pPr>
        <w:rPr>
          <w:rFonts w:hint="eastAsia" w:ascii="仿宋" w:hAnsi="仿宋" w:eastAsia="仿宋" w:cs="仿宋"/>
          <w:b w:val="0"/>
          <w:bCs/>
          <w:sz w:val="32"/>
          <w:szCs w:val="32"/>
          <w:highlight w:val="none"/>
          <w:lang w:val="zh-CN"/>
        </w:rPr>
      </w:pPr>
    </w:p>
    <w:p w14:paraId="6C90CDDC">
      <w:pPr>
        <w:rPr>
          <w:rFonts w:hint="eastAsia" w:ascii="仿宋" w:hAnsi="仿宋" w:eastAsia="仿宋" w:cs="仿宋"/>
          <w:b w:val="0"/>
          <w:bCs/>
          <w:sz w:val="32"/>
          <w:szCs w:val="32"/>
          <w:highlight w:val="none"/>
          <w:lang w:val="zh-CN"/>
        </w:rPr>
      </w:pPr>
    </w:p>
    <w:p w14:paraId="115585B1">
      <w:pPr>
        <w:rPr>
          <w:rFonts w:hint="eastAsia" w:ascii="仿宋" w:hAnsi="仿宋" w:eastAsia="仿宋" w:cs="仿宋"/>
          <w:b w:val="0"/>
          <w:bCs/>
          <w:sz w:val="32"/>
          <w:szCs w:val="32"/>
          <w:highlight w:val="none"/>
          <w:lang w:val="zh-CN"/>
        </w:rPr>
      </w:pPr>
    </w:p>
    <w:p w14:paraId="0AFE6428">
      <w:pPr>
        <w:rPr>
          <w:rFonts w:hint="eastAsia" w:ascii="Times New Roman" w:hAnsi="Times New Roman" w:eastAsia="仿宋_GB2312" w:cs="仿宋"/>
          <w:b w:val="0"/>
          <w:bCs/>
          <w:sz w:val="24"/>
          <w:szCs w:val="24"/>
          <w:highlight w:val="none"/>
          <w:lang w:val="zh-CN"/>
        </w:rPr>
      </w:pPr>
      <w:bookmarkStart w:id="60" w:name="_格式4：合同条款响应情况偏离表"/>
      <w:bookmarkStart w:id="61" w:name="_Toc32462"/>
      <w:bookmarkStart w:id="62" w:name="_Toc25172"/>
      <w:r>
        <w:rPr>
          <w:rFonts w:hint="eastAsia" w:ascii="Times New Roman" w:hAnsi="Times New Roman" w:eastAsia="仿宋_GB2312" w:cs="仿宋"/>
          <w:b w:val="0"/>
          <w:bCs/>
          <w:sz w:val="24"/>
          <w:szCs w:val="24"/>
          <w:highlight w:val="none"/>
          <w:lang w:val="zh-CN"/>
        </w:rPr>
        <w:br w:type="page"/>
      </w:r>
    </w:p>
    <w:bookmarkEnd w:id="60"/>
    <w:bookmarkEnd w:id="61"/>
    <w:bookmarkEnd w:id="62"/>
    <w:p w14:paraId="46E732E2">
      <w:pPr>
        <w:pStyle w:val="4"/>
        <w:pageBreakBefore w:val="0"/>
        <w:widowControl w:val="0"/>
        <w:kinsoku/>
        <w:wordWrap/>
        <w:overflowPunct/>
        <w:topLinePunct w:val="0"/>
        <w:autoSpaceDE/>
        <w:autoSpaceDN/>
        <w:bidi w:val="0"/>
        <w:adjustRightInd/>
        <w:snapToGrid/>
        <w:spacing w:before="0" w:after="0" w:line="560" w:lineRule="exact"/>
        <w:ind w:firstLine="0" w:firstLineChars="0"/>
        <w:jc w:val="left"/>
        <w:textAlignment w:val="auto"/>
        <w:rPr>
          <w:rFonts w:hint="eastAsia" w:ascii="Times New Roman" w:hAnsi="Times New Roman" w:eastAsia="仿宋_GB2312" w:cs="仿宋"/>
          <w:b w:val="0"/>
          <w:bCs/>
          <w:sz w:val="24"/>
          <w:szCs w:val="24"/>
          <w:highlight w:val="none"/>
          <w:lang w:val="zh-CN"/>
        </w:rPr>
      </w:pPr>
      <w:bookmarkStart w:id="63" w:name="_Toc2151"/>
      <w:r>
        <w:rPr>
          <w:rFonts w:hint="eastAsia" w:ascii="Times New Roman" w:hAnsi="Times New Roman" w:eastAsia="仿宋_GB2312" w:cs="仿宋"/>
          <w:b w:val="0"/>
          <w:bCs/>
          <w:sz w:val="24"/>
          <w:szCs w:val="24"/>
          <w:highlight w:val="none"/>
          <w:lang w:val="zh-CN"/>
        </w:rPr>
        <w:t>格式4：</w:t>
      </w:r>
      <w:r>
        <w:rPr>
          <w:rFonts w:hint="eastAsia" w:ascii="Times New Roman" w:eastAsia="仿宋_GB2312" w:cs="仿宋"/>
          <w:b w:val="0"/>
          <w:bCs/>
          <w:sz w:val="24"/>
          <w:szCs w:val="24"/>
          <w:highlight w:val="none"/>
          <w:lang w:val="en-US" w:eastAsia="zh-CN"/>
        </w:rPr>
        <w:t>招标文件</w:t>
      </w:r>
      <w:r>
        <w:rPr>
          <w:rFonts w:hint="eastAsia" w:ascii="Times New Roman" w:hAnsi="Times New Roman" w:eastAsia="仿宋_GB2312" w:cs="仿宋"/>
          <w:b w:val="0"/>
          <w:bCs/>
          <w:sz w:val="24"/>
          <w:szCs w:val="24"/>
          <w:highlight w:val="none"/>
          <w:lang w:val="en-US" w:eastAsia="zh-CN"/>
        </w:rPr>
        <w:t>响应</w:t>
      </w:r>
      <w:r>
        <w:rPr>
          <w:rFonts w:hint="eastAsia" w:ascii="Times New Roman" w:hAnsi="Times New Roman" w:eastAsia="仿宋_GB2312" w:cs="仿宋"/>
          <w:b w:val="0"/>
          <w:bCs/>
          <w:sz w:val="24"/>
          <w:szCs w:val="24"/>
          <w:highlight w:val="none"/>
          <w:lang w:val="zh-CN"/>
        </w:rPr>
        <w:t>情况</w:t>
      </w:r>
      <w:r>
        <w:rPr>
          <w:rFonts w:hint="eastAsia" w:ascii="Times New Roman" w:hAnsi="Times New Roman" w:eastAsia="仿宋_GB2312" w:cs="仿宋"/>
          <w:b w:val="0"/>
          <w:bCs/>
          <w:sz w:val="24"/>
          <w:szCs w:val="24"/>
          <w:highlight w:val="none"/>
          <w:lang w:val="en-US" w:eastAsia="zh-CN"/>
        </w:rPr>
        <w:t>偏离表</w:t>
      </w:r>
      <w:bookmarkEnd w:id="63"/>
    </w:p>
    <w:p w14:paraId="6F60DE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招标文件</w:t>
      </w:r>
      <w:r>
        <w:rPr>
          <w:rFonts w:hint="eastAsia" w:ascii="方正小标宋简体" w:hAnsi="方正小标宋简体" w:eastAsia="方正小标宋简体" w:cs="方正小标宋简体"/>
          <w:b w:val="0"/>
          <w:bCs/>
          <w:sz w:val="44"/>
          <w:szCs w:val="44"/>
          <w:lang w:val="zh-CN"/>
        </w:rPr>
        <w:t>响应情况</w:t>
      </w:r>
      <w:r>
        <w:rPr>
          <w:rFonts w:hint="eastAsia" w:ascii="方正小标宋简体" w:hAnsi="方正小标宋简体" w:eastAsia="方正小标宋简体" w:cs="方正小标宋简体"/>
          <w:b w:val="0"/>
          <w:bCs/>
          <w:sz w:val="44"/>
          <w:szCs w:val="44"/>
          <w:lang w:val="en-US" w:eastAsia="zh-CN"/>
        </w:rPr>
        <w:t>偏离表</w:t>
      </w:r>
    </w:p>
    <w:p w14:paraId="1DE46FC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22"/>
          <w:szCs w:val="22"/>
          <w:lang w:val="en-US" w:eastAsia="zh-CN"/>
        </w:rPr>
      </w:pPr>
      <w:r>
        <w:rPr>
          <w:rFonts w:hint="eastAsia" w:ascii="仿宋_GB2312" w:hAnsi="仿宋_GB2312" w:eastAsia="仿宋_GB2312" w:cs="仿宋_GB2312"/>
          <w:b w:val="0"/>
          <w:bCs/>
          <w:sz w:val="22"/>
          <w:szCs w:val="22"/>
          <w:lang w:val="en-US" w:eastAsia="zh-CN"/>
        </w:rPr>
        <w:t>投标人：                                    招标编号：</w:t>
      </w:r>
    </w:p>
    <w:p w14:paraId="37B056CB">
      <w:pPr>
        <w:rPr>
          <w:rFonts w:hint="eastAsia"/>
          <w:lang w:val="zh-CN"/>
        </w:rPr>
      </w:pPr>
    </w:p>
    <w:tbl>
      <w:tblPr>
        <w:tblStyle w:val="15"/>
        <w:tblpPr w:leftFromText="180" w:rightFromText="180" w:vertAnchor="text" w:horzAnchor="page" w:tblpXSpec="center" w:tblpY="-9"/>
        <w:tblOverlap w:val="never"/>
        <w:tblW w:w="88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19"/>
        <w:gridCol w:w="2395"/>
        <w:gridCol w:w="1440"/>
        <w:gridCol w:w="1616"/>
        <w:gridCol w:w="1490"/>
        <w:gridCol w:w="1339"/>
      </w:tblGrid>
      <w:tr w14:paraId="4BB685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23" w:hRule="atLeast"/>
          <w:jc w:val="center"/>
        </w:trPr>
        <w:tc>
          <w:tcPr>
            <w:tcW w:w="619" w:type="dxa"/>
            <w:tcBorders>
              <w:tl2br w:val="nil"/>
              <w:tr2bl w:val="nil"/>
            </w:tcBorders>
            <w:vAlign w:val="center"/>
          </w:tcPr>
          <w:p w14:paraId="691DDC93">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heme="minorEastAsia"/>
                <w:b w:val="0"/>
                <w:bCs/>
                <w:sz w:val="21"/>
                <w:szCs w:val="21"/>
              </w:rPr>
            </w:pPr>
            <w:r>
              <w:rPr>
                <w:rFonts w:hint="eastAsia" w:ascii="Times New Roman" w:hAnsi="Times New Roman" w:eastAsia="宋体" w:cstheme="minorEastAsia"/>
                <w:b w:val="0"/>
                <w:bCs/>
                <w:sz w:val="21"/>
                <w:szCs w:val="21"/>
              </w:rPr>
              <w:t>序号</w:t>
            </w:r>
          </w:p>
        </w:tc>
        <w:tc>
          <w:tcPr>
            <w:tcW w:w="2395" w:type="dxa"/>
            <w:tcBorders>
              <w:tl2br w:val="nil"/>
              <w:tr2bl w:val="nil"/>
            </w:tcBorders>
            <w:vAlign w:val="center"/>
          </w:tcPr>
          <w:p w14:paraId="736830DF">
            <w:pPr>
              <w:keepNext w:val="0"/>
              <w:keepLines w:val="0"/>
              <w:widowControl/>
              <w:suppressLineNumbers w:val="0"/>
              <w:jc w:val="center"/>
              <w:textAlignment w:val="center"/>
              <w:rPr>
                <w:rFonts w:hint="eastAsia" w:ascii="Times New Roman" w:hAnsi="Times New Roman" w:eastAsia="宋体" w:cstheme="minorEastAsia"/>
                <w:b w:val="0"/>
                <w:bCs/>
                <w:sz w:val="21"/>
                <w:szCs w:val="21"/>
              </w:rPr>
            </w:pPr>
            <w:r>
              <w:rPr>
                <w:rFonts w:hint="eastAsia" w:ascii="Times New Roman" w:hAnsi="Times New Roman" w:eastAsia="宋体" w:cstheme="minorEastAsia"/>
                <w:b w:val="0"/>
                <w:bCs/>
                <w:i w:val="0"/>
                <w:iCs w:val="0"/>
                <w:color w:val="000000"/>
                <w:kern w:val="0"/>
                <w:sz w:val="21"/>
                <w:szCs w:val="21"/>
                <w:u w:val="none"/>
                <w:lang w:val="en-US" w:eastAsia="zh-CN" w:bidi="ar"/>
              </w:rPr>
              <w:t>内容</w:t>
            </w:r>
          </w:p>
        </w:tc>
        <w:tc>
          <w:tcPr>
            <w:tcW w:w="1440" w:type="dxa"/>
            <w:tcBorders>
              <w:tl2br w:val="nil"/>
              <w:tr2bl w:val="nil"/>
            </w:tcBorders>
            <w:vAlign w:val="center"/>
          </w:tcPr>
          <w:p w14:paraId="5EF1A110">
            <w:pPr>
              <w:keepNext w:val="0"/>
              <w:keepLines w:val="0"/>
              <w:widowControl/>
              <w:suppressLineNumbers w:val="0"/>
              <w:jc w:val="center"/>
              <w:textAlignment w:val="center"/>
              <w:rPr>
                <w:rFonts w:hint="eastAsia" w:ascii="Times New Roman" w:hAnsi="Times New Roman" w:eastAsia="宋体" w:cstheme="minorEastAsia"/>
                <w:b w:val="0"/>
                <w:bCs/>
                <w:i w:val="0"/>
                <w:iCs w:val="0"/>
                <w:color w:val="000000"/>
                <w:kern w:val="0"/>
                <w:sz w:val="21"/>
                <w:szCs w:val="21"/>
                <w:u w:val="none"/>
                <w:lang w:val="en-US" w:eastAsia="zh-CN" w:bidi="ar"/>
              </w:rPr>
            </w:pPr>
            <w:r>
              <w:rPr>
                <w:rFonts w:hint="eastAsia" w:ascii="Times New Roman" w:hAnsi="Times New Roman" w:eastAsia="宋体" w:cstheme="minorEastAsia"/>
                <w:b w:val="0"/>
                <w:bCs/>
                <w:i w:val="0"/>
                <w:iCs w:val="0"/>
                <w:color w:val="000000"/>
                <w:kern w:val="0"/>
                <w:sz w:val="21"/>
                <w:szCs w:val="21"/>
                <w:u w:val="none"/>
                <w:lang w:val="en-US" w:eastAsia="zh-CN" w:bidi="ar"/>
              </w:rPr>
              <w:t>偏离性质</w:t>
            </w:r>
          </w:p>
          <w:p w14:paraId="76EBE0B2">
            <w:pPr>
              <w:keepNext w:val="0"/>
              <w:keepLines w:val="0"/>
              <w:widowControl/>
              <w:suppressLineNumbers w:val="0"/>
              <w:jc w:val="center"/>
              <w:textAlignment w:val="center"/>
              <w:rPr>
                <w:rFonts w:hint="eastAsia" w:ascii="Times New Roman" w:hAnsi="Times New Roman" w:eastAsia="宋体" w:cstheme="minorEastAsia"/>
                <w:b w:val="0"/>
                <w:bCs/>
                <w:sz w:val="21"/>
                <w:szCs w:val="21"/>
              </w:rPr>
            </w:pPr>
            <w:r>
              <w:rPr>
                <w:rFonts w:hint="eastAsia" w:ascii="Times New Roman" w:hAnsi="Times New Roman" w:eastAsia="宋体" w:cstheme="minorEastAsia"/>
                <w:b w:val="0"/>
                <w:bCs/>
                <w:i w:val="0"/>
                <w:iCs w:val="0"/>
                <w:color w:val="000000"/>
                <w:kern w:val="0"/>
                <w:sz w:val="21"/>
                <w:szCs w:val="21"/>
                <w:u w:val="none"/>
                <w:lang w:val="en-US" w:eastAsia="zh-CN" w:bidi="ar"/>
              </w:rPr>
              <w:t>（选填正偏离、负偏离）</w:t>
            </w:r>
          </w:p>
        </w:tc>
        <w:tc>
          <w:tcPr>
            <w:tcW w:w="1616" w:type="dxa"/>
            <w:tcBorders>
              <w:tl2br w:val="nil"/>
              <w:tr2bl w:val="nil"/>
            </w:tcBorders>
            <w:vAlign w:val="center"/>
          </w:tcPr>
          <w:p w14:paraId="5C15F0E6">
            <w:pPr>
              <w:keepNext w:val="0"/>
              <w:keepLines w:val="0"/>
              <w:widowControl/>
              <w:suppressLineNumbers w:val="0"/>
              <w:jc w:val="center"/>
              <w:textAlignment w:val="center"/>
              <w:rPr>
                <w:rFonts w:hint="eastAsia" w:ascii="Times New Roman" w:hAnsi="Times New Roman" w:eastAsia="宋体" w:cstheme="minorEastAsia"/>
                <w:b w:val="0"/>
                <w:bCs/>
                <w:sz w:val="21"/>
                <w:szCs w:val="21"/>
              </w:rPr>
            </w:pPr>
            <w:r>
              <w:rPr>
                <w:rFonts w:hint="eastAsia" w:ascii="Times New Roman" w:hAnsi="Times New Roman" w:eastAsia="宋体" w:cstheme="minorEastAsia"/>
                <w:b w:val="0"/>
                <w:bCs/>
                <w:i w:val="0"/>
                <w:iCs w:val="0"/>
                <w:color w:val="000000"/>
                <w:kern w:val="0"/>
                <w:sz w:val="21"/>
                <w:szCs w:val="21"/>
                <w:u w:val="none"/>
                <w:lang w:val="en-US" w:eastAsia="zh-CN" w:bidi="ar"/>
              </w:rPr>
              <w:t>偏离情况说明</w:t>
            </w:r>
          </w:p>
        </w:tc>
        <w:tc>
          <w:tcPr>
            <w:tcW w:w="1490" w:type="dxa"/>
            <w:tcBorders>
              <w:tl2br w:val="nil"/>
              <w:tr2bl w:val="nil"/>
            </w:tcBorders>
            <w:vAlign w:val="center"/>
          </w:tcPr>
          <w:p w14:paraId="2E737006">
            <w:pPr>
              <w:keepNext w:val="0"/>
              <w:keepLines w:val="0"/>
              <w:widowControl/>
              <w:suppressLineNumbers w:val="0"/>
              <w:jc w:val="center"/>
              <w:textAlignment w:val="center"/>
              <w:rPr>
                <w:rFonts w:hint="eastAsia" w:ascii="Times New Roman" w:hAnsi="Times New Roman" w:eastAsia="宋体" w:cstheme="minorEastAsia"/>
                <w:b w:val="0"/>
                <w:bCs/>
                <w:sz w:val="21"/>
                <w:szCs w:val="21"/>
              </w:rPr>
            </w:pPr>
            <w:r>
              <w:rPr>
                <w:rFonts w:hint="eastAsia" w:ascii="Times New Roman" w:hAnsi="Times New Roman" w:eastAsia="宋体" w:cstheme="minorEastAsia"/>
                <w:b w:val="0"/>
                <w:bCs/>
                <w:i w:val="0"/>
                <w:iCs w:val="0"/>
                <w:color w:val="000000"/>
                <w:kern w:val="0"/>
                <w:sz w:val="21"/>
                <w:szCs w:val="21"/>
                <w:u w:val="none"/>
                <w:lang w:val="en-US" w:eastAsia="zh-CN" w:bidi="ar"/>
              </w:rPr>
              <w:t>偏离情况对应投标文件页码</w:t>
            </w:r>
          </w:p>
        </w:tc>
        <w:tc>
          <w:tcPr>
            <w:tcW w:w="1339" w:type="dxa"/>
            <w:tcBorders>
              <w:tl2br w:val="nil"/>
              <w:tr2bl w:val="nil"/>
            </w:tcBorders>
            <w:vAlign w:val="center"/>
          </w:tcPr>
          <w:p w14:paraId="07E64E12">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heme="minorEastAsia"/>
                <w:b w:val="0"/>
                <w:bCs/>
                <w:sz w:val="21"/>
                <w:szCs w:val="21"/>
              </w:rPr>
            </w:pPr>
            <w:r>
              <w:rPr>
                <w:rFonts w:hint="eastAsia" w:ascii="Times New Roman" w:hAnsi="Times New Roman" w:eastAsia="宋体" w:cstheme="minorEastAsia"/>
                <w:b w:val="0"/>
                <w:bCs/>
                <w:sz w:val="21"/>
                <w:szCs w:val="21"/>
              </w:rPr>
              <w:t>备注</w:t>
            </w:r>
          </w:p>
        </w:tc>
      </w:tr>
      <w:tr w14:paraId="62BFDC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12" w:hRule="atLeast"/>
          <w:jc w:val="center"/>
        </w:trPr>
        <w:tc>
          <w:tcPr>
            <w:tcW w:w="619" w:type="dxa"/>
            <w:tcBorders>
              <w:tl2br w:val="nil"/>
              <w:tr2bl w:val="nil"/>
            </w:tcBorders>
            <w:vAlign w:val="center"/>
          </w:tcPr>
          <w:p w14:paraId="134A766B">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r>
              <w:rPr>
                <w:rFonts w:hint="eastAsia" w:ascii="Times New Roman" w:hAnsi="Times New Roman" w:eastAsia="宋体" w:cs="仿宋"/>
                <w:bCs/>
                <w:sz w:val="21"/>
                <w:szCs w:val="21"/>
              </w:rPr>
              <w:t>1</w:t>
            </w:r>
          </w:p>
        </w:tc>
        <w:tc>
          <w:tcPr>
            <w:tcW w:w="2395" w:type="dxa"/>
            <w:tcBorders>
              <w:tl2br w:val="nil"/>
              <w:tr2bl w:val="nil"/>
            </w:tcBorders>
            <w:vAlign w:val="center"/>
          </w:tcPr>
          <w:p w14:paraId="4D468C1F">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c>
          <w:tcPr>
            <w:tcW w:w="1440" w:type="dxa"/>
            <w:tcBorders>
              <w:tl2br w:val="nil"/>
              <w:tr2bl w:val="nil"/>
            </w:tcBorders>
            <w:vAlign w:val="center"/>
          </w:tcPr>
          <w:p w14:paraId="5182E11C">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c>
          <w:tcPr>
            <w:tcW w:w="1616" w:type="dxa"/>
            <w:tcBorders>
              <w:tl2br w:val="nil"/>
              <w:tr2bl w:val="nil"/>
            </w:tcBorders>
            <w:vAlign w:val="center"/>
          </w:tcPr>
          <w:p w14:paraId="24D69CEC">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c>
          <w:tcPr>
            <w:tcW w:w="1490" w:type="dxa"/>
            <w:tcBorders>
              <w:tl2br w:val="nil"/>
              <w:tr2bl w:val="nil"/>
            </w:tcBorders>
            <w:vAlign w:val="center"/>
          </w:tcPr>
          <w:p w14:paraId="2D624CF0">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c>
          <w:tcPr>
            <w:tcW w:w="1339" w:type="dxa"/>
            <w:tcBorders>
              <w:tl2br w:val="nil"/>
              <w:tr2bl w:val="nil"/>
            </w:tcBorders>
            <w:vAlign w:val="center"/>
          </w:tcPr>
          <w:p w14:paraId="00ECCBA0">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r>
      <w:tr w14:paraId="46E647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36" w:hRule="atLeast"/>
          <w:jc w:val="center"/>
        </w:trPr>
        <w:tc>
          <w:tcPr>
            <w:tcW w:w="619" w:type="dxa"/>
            <w:tcBorders>
              <w:tl2br w:val="nil"/>
              <w:tr2bl w:val="nil"/>
            </w:tcBorders>
            <w:vAlign w:val="center"/>
          </w:tcPr>
          <w:p w14:paraId="1045196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r>
              <w:rPr>
                <w:rFonts w:hint="eastAsia" w:ascii="Times New Roman" w:hAnsi="Times New Roman" w:eastAsia="宋体" w:cs="仿宋"/>
                <w:bCs/>
                <w:sz w:val="21"/>
                <w:szCs w:val="21"/>
              </w:rPr>
              <w:t>2</w:t>
            </w:r>
          </w:p>
        </w:tc>
        <w:tc>
          <w:tcPr>
            <w:tcW w:w="2395" w:type="dxa"/>
            <w:tcBorders>
              <w:tl2br w:val="nil"/>
              <w:tr2bl w:val="nil"/>
            </w:tcBorders>
            <w:vAlign w:val="center"/>
          </w:tcPr>
          <w:p w14:paraId="49FDDE17">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c>
          <w:tcPr>
            <w:tcW w:w="1440" w:type="dxa"/>
            <w:tcBorders>
              <w:tl2br w:val="nil"/>
              <w:tr2bl w:val="nil"/>
            </w:tcBorders>
            <w:vAlign w:val="center"/>
          </w:tcPr>
          <w:p w14:paraId="0FBF61C0">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c>
          <w:tcPr>
            <w:tcW w:w="1616" w:type="dxa"/>
            <w:tcBorders>
              <w:tl2br w:val="nil"/>
              <w:tr2bl w:val="nil"/>
            </w:tcBorders>
            <w:vAlign w:val="center"/>
          </w:tcPr>
          <w:p w14:paraId="186342B0">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c>
          <w:tcPr>
            <w:tcW w:w="1490" w:type="dxa"/>
            <w:tcBorders>
              <w:tl2br w:val="nil"/>
              <w:tr2bl w:val="nil"/>
            </w:tcBorders>
            <w:vAlign w:val="center"/>
          </w:tcPr>
          <w:p w14:paraId="4F18D37F">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c>
          <w:tcPr>
            <w:tcW w:w="1339" w:type="dxa"/>
            <w:tcBorders>
              <w:tl2br w:val="nil"/>
              <w:tr2bl w:val="nil"/>
            </w:tcBorders>
            <w:vAlign w:val="center"/>
          </w:tcPr>
          <w:p w14:paraId="56015549">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r>
      <w:tr w14:paraId="72FC62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619" w:type="dxa"/>
            <w:tcBorders>
              <w:tl2br w:val="nil"/>
              <w:tr2bl w:val="nil"/>
            </w:tcBorders>
            <w:vAlign w:val="center"/>
          </w:tcPr>
          <w:p w14:paraId="688E5C9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r>
              <w:rPr>
                <w:rFonts w:hint="eastAsia" w:ascii="Times New Roman" w:hAnsi="Times New Roman" w:eastAsia="宋体" w:cs="仿宋"/>
                <w:bCs/>
                <w:sz w:val="21"/>
                <w:szCs w:val="21"/>
              </w:rPr>
              <w:t>3</w:t>
            </w:r>
          </w:p>
        </w:tc>
        <w:tc>
          <w:tcPr>
            <w:tcW w:w="2395" w:type="dxa"/>
            <w:tcBorders>
              <w:tl2br w:val="nil"/>
              <w:tr2bl w:val="nil"/>
            </w:tcBorders>
            <w:vAlign w:val="center"/>
          </w:tcPr>
          <w:p w14:paraId="3573D18F">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c>
          <w:tcPr>
            <w:tcW w:w="1440" w:type="dxa"/>
            <w:tcBorders>
              <w:tl2br w:val="nil"/>
              <w:tr2bl w:val="nil"/>
            </w:tcBorders>
            <w:vAlign w:val="center"/>
          </w:tcPr>
          <w:p w14:paraId="4C476AE4">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c>
          <w:tcPr>
            <w:tcW w:w="1616" w:type="dxa"/>
            <w:tcBorders>
              <w:tl2br w:val="nil"/>
              <w:tr2bl w:val="nil"/>
            </w:tcBorders>
            <w:vAlign w:val="center"/>
          </w:tcPr>
          <w:p w14:paraId="07240A33">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c>
          <w:tcPr>
            <w:tcW w:w="1490" w:type="dxa"/>
            <w:tcBorders>
              <w:tl2br w:val="nil"/>
              <w:tr2bl w:val="nil"/>
            </w:tcBorders>
            <w:vAlign w:val="center"/>
          </w:tcPr>
          <w:p w14:paraId="3B1BAD99">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c>
          <w:tcPr>
            <w:tcW w:w="1339" w:type="dxa"/>
            <w:tcBorders>
              <w:tl2br w:val="nil"/>
              <w:tr2bl w:val="nil"/>
            </w:tcBorders>
            <w:vAlign w:val="center"/>
          </w:tcPr>
          <w:p w14:paraId="36246E61">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r>
      <w:tr w14:paraId="5F612A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619" w:type="dxa"/>
            <w:tcBorders>
              <w:tl2br w:val="nil"/>
              <w:tr2bl w:val="nil"/>
            </w:tcBorders>
            <w:vAlign w:val="center"/>
          </w:tcPr>
          <w:p w14:paraId="3810F0BF">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yellow"/>
              </w:rPr>
            </w:pPr>
            <w:r>
              <w:rPr>
                <w:rFonts w:hint="eastAsia" w:ascii="Times New Roman" w:hAnsi="Times New Roman" w:eastAsia="宋体" w:cs="仿宋"/>
                <w:bCs/>
                <w:sz w:val="21"/>
                <w:szCs w:val="21"/>
                <w:highlight w:val="none"/>
              </w:rPr>
              <w:t>4</w:t>
            </w:r>
          </w:p>
        </w:tc>
        <w:tc>
          <w:tcPr>
            <w:tcW w:w="2395" w:type="dxa"/>
            <w:tcBorders>
              <w:tl2br w:val="nil"/>
              <w:tr2bl w:val="nil"/>
            </w:tcBorders>
            <w:vAlign w:val="center"/>
          </w:tcPr>
          <w:p w14:paraId="074BAE81">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c>
          <w:tcPr>
            <w:tcW w:w="1440" w:type="dxa"/>
            <w:tcBorders>
              <w:tl2br w:val="nil"/>
              <w:tr2bl w:val="nil"/>
            </w:tcBorders>
            <w:vAlign w:val="center"/>
          </w:tcPr>
          <w:p w14:paraId="36BC5D4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c>
          <w:tcPr>
            <w:tcW w:w="1616" w:type="dxa"/>
            <w:tcBorders>
              <w:tl2br w:val="nil"/>
              <w:tr2bl w:val="nil"/>
            </w:tcBorders>
            <w:vAlign w:val="center"/>
          </w:tcPr>
          <w:p w14:paraId="352ECAC6">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c>
          <w:tcPr>
            <w:tcW w:w="1490" w:type="dxa"/>
            <w:tcBorders>
              <w:tl2br w:val="nil"/>
              <w:tr2bl w:val="nil"/>
            </w:tcBorders>
            <w:vAlign w:val="center"/>
          </w:tcPr>
          <w:p w14:paraId="5D89FFC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c>
          <w:tcPr>
            <w:tcW w:w="1339" w:type="dxa"/>
            <w:tcBorders>
              <w:tl2br w:val="nil"/>
              <w:tr2bl w:val="nil"/>
            </w:tcBorders>
            <w:vAlign w:val="center"/>
          </w:tcPr>
          <w:p w14:paraId="4D814E93">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r>
      <w:tr w14:paraId="7E334F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84" w:hRule="atLeast"/>
          <w:jc w:val="center"/>
        </w:trPr>
        <w:tc>
          <w:tcPr>
            <w:tcW w:w="619" w:type="dxa"/>
            <w:tcBorders>
              <w:tl2br w:val="nil"/>
              <w:tr2bl w:val="nil"/>
            </w:tcBorders>
            <w:vAlign w:val="center"/>
          </w:tcPr>
          <w:p w14:paraId="332FC0D7">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p w14:paraId="07F73572">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r>
              <w:rPr>
                <w:rFonts w:hint="eastAsia" w:ascii="Times New Roman" w:hAnsi="Times New Roman" w:eastAsia="宋体" w:cs="仿宋"/>
                <w:bCs/>
                <w:sz w:val="21"/>
                <w:szCs w:val="21"/>
              </w:rPr>
              <w:t>5</w:t>
            </w:r>
          </w:p>
        </w:tc>
        <w:tc>
          <w:tcPr>
            <w:tcW w:w="2395" w:type="dxa"/>
            <w:tcBorders>
              <w:tl2br w:val="nil"/>
              <w:tr2bl w:val="nil"/>
            </w:tcBorders>
            <w:vAlign w:val="center"/>
          </w:tcPr>
          <w:p w14:paraId="14F85924">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c>
          <w:tcPr>
            <w:tcW w:w="1440" w:type="dxa"/>
            <w:tcBorders>
              <w:tl2br w:val="nil"/>
              <w:tr2bl w:val="nil"/>
            </w:tcBorders>
            <w:vAlign w:val="center"/>
          </w:tcPr>
          <w:p w14:paraId="1E8A13EA">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c>
          <w:tcPr>
            <w:tcW w:w="1616" w:type="dxa"/>
            <w:tcBorders>
              <w:tl2br w:val="nil"/>
              <w:tr2bl w:val="nil"/>
            </w:tcBorders>
            <w:vAlign w:val="center"/>
          </w:tcPr>
          <w:p w14:paraId="29C67007">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c>
          <w:tcPr>
            <w:tcW w:w="1490" w:type="dxa"/>
            <w:tcBorders>
              <w:tl2br w:val="nil"/>
              <w:tr2bl w:val="nil"/>
            </w:tcBorders>
            <w:vAlign w:val="center"/>
          </w:tcPr>
          <w:p w14:paraId="00FCA6FC">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c>
          <w:tcPr>
            <w:tcW w:w="1339" w:type="dxa"/>
            <w:tcBorders>
              <w:tl2br w:val="nil"/>
              <w:tr2bl w:val="nil"/>
            </w:tcBorders>
            <w:vAlign w:val="center"/>
          </w:tcPr>
          <w:p w14:paraId="12743811">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p>
        </w:tc>
      </w:tr>
      <w:tr w14:paraId="7DB2CB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24" w:hRule="atLeast"/>
          <w:jc w:val="center"/>
        </w:trPr>
        <w:tc>
          <w:tcPr>
            <w:tcW w:w="619" w:type="dxa"/>
            <w:tcBorders>
              <w:tl2br w:val="nil"/>
              <w:tr2bl w:val="nil"/>
            </w:tcBorders>
            <w:vAlign w:val="center"/>
          </w:tcPr>
          <w:p w14:paraId="4E725E72">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r>
              <w:rPr>
                <w:rFonts w:hint="eastAsia" w:ascii="Times New Roman" w:hAnsi="Times New Roman" w:eastAsia="宋体" w:cs="仿宋"/>
                <w:bCs/>
                <w:sz w:val="21"/>
                <w:szCs w:val="21"/>
              </w:rPr>
              <w:t>6</w:t>
            </w:r>
          </w:p>
        </w:tc>
        <w:tc>
          <w:tcPr>
            <w:tcW w:w="2395" w:type="dxa"/>
            <w:tcBorders>
              <w:tl2br w:val="nil"/>
              <w:tr2bl w:val="nil"/>
            </w:tcBorders>
            <w:vAlign w:val="center"/>
          </w:tcPr>
          <w:p w14:paraId="3D4E87FD">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yellow"/>
              </w:rPr>
            </w:pPr>
          </w:p>
        </w:tc>
        <w:tc>
          <w:tcPr>
            <w:tcW w:w="1440" w:type="dxa"/>
            <w:tcBorders>
              <w:tl2br w:val="nil"/>
              <w:tr2bl w:val="nil"/>
            </w:tcBorders>
            <w:vAlign w:val="center"/>
          </w:tcPr>
          <w:p w14:paraId="36888DD3">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yellow"/>
              </w:rPr>
            </w:pPr>
          </w:p>
        </w:tc>
        <w:tc>
          <w:tcPr>
            <w:tcW w:w="1616" w:type="dxa"/>
            <w:tcBorders>
              <w:tl2br w:val="nil"/>
              <w:tr2bl w:val="nil"/>
            </w:tcBorders>
            <w:vAlign w:val="center"/>
          </w:tcPr>
          <w:p w14:paraId="17942558">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yellow"/>
              </w:rPr>
            </w:pPr>
          </w:p>
        </w:tc>
        <w:tc>
          <w:tcPr>
            <w:tcW w:w="1490" w:type="dxa"/>
            <w:tcBorders>
              <w:tl2br w:val="nil"/>
              <w:tr2bl w:val="nil"/>
            </w:tcBorders>
            <w:vAlign w:val="center"/>
          </w:tcPr>
          <w:p w14:paraId="16D498EA">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yellow"/>
              </w:rPr>
            </w:pPr>
          </w:p>
        </w:tc>
        <w:tc>
          <w:tcPr>
            <w:tcW w:w="1339" w:type="dxa"/>
            <w:tcBorders>
              <w:tl2br w:val="nil"/>
              <w:tr2bl w:val="nil"/>
            </w:tcBorders>
            <w:vAlign w:val="center"/>
          </w:tcPr>
          <w:p w14:paraId="2B4C39E7">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yellow"/>
              </w:rPr>
            </w:pPr>
          </w:p>
        </w:tc>
      </w:tr>
      <w:tr w14:paraId="6FC1F5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08" w:hRule="atLeast"/>
          <w:jc w:val="center"/>
        </w:trPr>
        <w:tc>
          <w:tcPr>
            <w:tcW w:w="619" w:type="dxa"/>
            <w:tcBorders>
              <w:tl2br w:val="nil"/>
              <w:tr2bl w:val="nil"/>
            </w:tcBorders>
            <w:vAlign w:val="center"/>
          </w:tcPr>
          <w:p w14:paraId="51805BBE">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rPr>
            </w:pPr>
            <w:r>
              <w:rPr>
                <w:rFonts w:hint="eastAsia" w:ascii="Times New Roman" w:hAnsi="Times New Roman" w:eastAsia="宋体" w:cs="仿宋"/>
                <w:bCs/>
                <w:sz w:val="21"/>
                <w:szCs w:val="21"/>
              </w:rPr>
              <w:t>7</w:t>
            </w:r>
          </w:p>
        </w:tc>
        <w:tc>
          <w:tcPr>
            <w:tcW w:w="2395" w:type="dxa"/>
            <w:tcBorders>
              <w:tl2br w:val="nil"/>
              <w:tr2bl w:val="nil"/>
            </w:tcBorders>
            <w:vAlign w:val="center"/>
          </w:tcPr>
          <w:p w14:paraId="42895E66">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yellow"/>
              </w:rPr>
            </w:pPr>
          </w:p>
        </w:tc>
        <w:tc>
          <w:tcPr>
            <w:tcW w:w="1440" w:type="dxa"/>
            <w:tcBorders>
              <w:tl2br w:val="nil"/>
              <w:tr2bl w:val="nil"/>
            </w:tcBorders>
            <w:vAlign w:val="center"/>
          </w:tcPr>
          <w:p w14:paraId="67B7FBAC">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yellow"/>
              </w:rPr>
            </w:pPr>
          </w:p>
        </w:tc>
        <w:tc>
          <w:tcPr>
            <w:tcW w:w="1616" w:type="dxa"/>
            <w:tcBorders>
              <w:tl2br w:val="nil"/>
              <w:tr2bl w:val="nil"/>
            </w:tcBorders>
            <w:vAlign w:val="center"/>
          </w:tcPr>
          <w:p w14:paraId="2CB0BFBE">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yellow"/>
              </w:rPr>
            </w:pPr>
          </w:p>
        </w:tc>
        <w:tc>
          <w:tcPr>
            <w:tcW w:w="1490" w:type="dxa"/>
            <w:tcBorders>
              <w:tl2br w:val="nil"/>
              <w:tr2bl w:val="nil"/>
            </w:tcBorders>
            <w:vAlign w:val="center"/>
          </w:tcPr>
          <w:p w14:paraId="623A5C8E">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yellow"/>
              </w:rPr>
            </w:pPr>
          </w:p>
        </w:tc>
        <w:tc>
          <w:tcPr>
            <w:tcW w:w="1339" w:type="dxa"/>
            <w:tcBorders>
              <w:tl2br w:val="nil"/>
              <w:tr2bl w:val="nil"/>
            </w:tcBorders>
            <w:vAlign w:val="center"/>
          </w:tcPr>
          <w:p w14:paraId="575A15A7">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yellow"/>
              </w:rPr>
            </w:pPr>
          </w:p>
        </w:tc>
      </w:tr>
      <w:tr w14:paraId="145BA8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83" w:hRule="atLeast"/>
          <w:jc w:val="center"/>
        </w:trPr>
        <w:tc>
          <w:tcPr>
            <w:tcW w:w="619" w:type="dxa"/>
            <w:tcBorders>
              <w:tl2br w:val="nil"/>
              <w:tr2bl w:val="nil"/>
            </w:tcBorders>
            <w:vAlign w:val="center"/>
          </w:tcPr>
          <w:p w14:paraId="311B16F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yellow"/>
              </w:rPr>
            </w:pPr>
          </w:p>
          <w:p w14:paraId="424673ED">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yellow"/>
              </w:rPr>
            </w:pPr>
          </w:p>
        </w:tc>
        <w:tc>
          <w:tcPr>
            <w:tcW w:w="2395" w:type="dxa"/>
            <w:tcBorders>
              <w:tl2br w:val="nil"/>
              <w:tr2bl w:val="nil"/>
            </w:tcBorders>
            <w:vAlign w:val="center"/>
          </w:tcPr>
          <w:p w14:paraId="4221115B">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仿宋"/>
                <w:bCs/>
                <w:sz w:val="21"/>
                <w:szCs w:val="21"/>
                <w:highlight w:val="yellow"/>
                <w:lang w:val="en-US" w:eastAsia="zh-CN"/>
              </w:rPr>
            </w:pPr>
            <w:r>
              <w:rPr>
                <w:rFonts w:hint="eastAsia" w:ascii="Times New Roman" w:hAnsi="Times New Roman" w:eastAsia="宋体" w:cs="仿宋"/>
                <w:bCs/>
                <w:sz w:val="21"/>
                <w:szCs w:val="21"/>
                <w:highlight w:val="none"/>
                <w:lang w:val="en-US" w:eastAsia="zh-CN"/>
              </w:rPr>
              <w:t>.......</w:t>
            </w:r>
          </w:p>
        </w:tc>
        <w:tc>
          <w:tcPr>
            <w:tcW w:w="1440" w:type="dxa"/>
            <w:tcBorders>
              <w:tl2br w:val="nil"/>
              <w:tr2bl w:val="nil"/>
            </w:tcBorders>
            <w:vAlign w:val="center"/>
          </w:tcPr>
          <w:p w14:paraId="113F5F41">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yellow"/>
              </w:rPr>
            </w:pPr>
          </w:p>
        </w:tc>
        <w:tc>
          <w:tcPr>
            <w:tcW w:w="1616" w:type="dxa"/>
            <w:tcBorders>
              <w:tl2br w:val="nil"/>
              <w:tr2bl w:val="nil"/>
            </w:tcBorders>
            <w:vAlign w:val="center"/>
          </w:tcPr>
          <w:p w14:paraId="537BFD8D">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yellow"/>
              </w:rPr>
            </w:pPr>
          </w:p>
        </w:tc>
        <w:tc>
          <w:tcPr>
            <w:tcW w:w="1490" w:type="dxa"/>
            <w:tcBorders>
              <w:tl2br w:val="nil"/>
              <w:tr2bl w:val="nil"/>
            </w:tcBorders>
            <w:vAlign w:val="center"/>
          </w:tcPr>
          <w:p w14:paraId="107ED2CA">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yellow"/>
              </w:rPr>
            </w:pPr>
          </w:p>
        </w:tc>
        <w:tc>
          <w:tcPr>
            <w:tcW w:w="1339" w:type="dxa"/>
            <w:tcBorders>
              <w:tl2br w:val="nil"/>
              <w:tr2bl w:val="nil"/>
            </w:tcBorders>
            <w:vAlign w:val="center"/>
          </w:tcPr>
          <w:p w14:paraId="19A061DB">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z w:val="21"/>
                <w:szCs w:val="21"/>
                <w:highlight w:val="yellow"/>
              </w:rPr>
            </w:pPr>
          </w:p>
        </w:tc>
      </w:tr>
    </w:tbl>
    <w:p w14:paraId="1A7F627F">
      <w:pPr>
        <w:keepNext w:val="0"/>
        <w:keepLines w:val="0"/>
        <w:pageBreakBefore w:val="0"/>
        <w:widowControl/>
        <w:kinsoku/>
        <w:wordWrap/>
        <w:overflowPunct/>
        <w:topLinePunct w:val="0"/>
        <w:autoSpaceDE/>
        <w:autoSpaceDN/>
        <w:bidi w:val="0"/>
        <w:adjustRightInd/>
        <w:snapToGrid/>
        <w:spacing w:line="240" w:lineRule="exact"/>
        <w:ind w:firstLine="422" w:firstLineChars="200"/>
        <w:textAlignment w:val="auto"/>
        <w:rPr>
          <w:rFonts w:hint="eastAsia" w:ascii="Times New Roman" w:hAnsi="Times New Roman" w:eastAsia="仿宋_GB2312" w:cs="仿宋"/>
          <w:b/>
          <w:bCs/>
          <w:sz w:val="21"/>
          <w:szCs w:val="21"/>
        </w:rPr>
      </w:pPr>
      <w:r>
        <w:rPr>
          <w:rFonts w:hint="eastAsia" w:ascii="Times New Roman" w:hAnsi="Times New Roman" w:eastAsia="仿宋_GB2312" w:cs="仿宋"/>
          <w:b/>
          <w:bCs/>
          <w:sz w:val="21"/>
          <w:szCs w:val="21"/>
        </w:rPr>
        <w:t>说明：</w:t>
      </w:r>
    </w:p>
    <w:p w14:paraId="3D38847D">
      <w:pPr>
        <w:keepNext w:val="0"/>
        <w:keepLines w:val="0"/>
        <w:pageBreakBefore w:val="0"/>
        <w:widowControl/>
        <w:numPr>
          <w:ilvl w:val="0"/>
          <w:numId w:val="14"/>
        </w:numPr>
        <w:kinsoku/>
        <w:wordWrap/>
        <w:overflowPunct/>
        <w:topLinePunct w:val="0"/>
        <w:autoSpaceDE/>
        <w:autoSpaceDN/>
        <w:bidi w:val="0"/>
        <w:adjustRightInd/>
        <w:snapToGrid/>
        <w:spacing w:line="240" w:lineRule="exact"/>
        <w:ind w:firstLine="420" w:firstLineChars="200"/>
        <w:textAlignment w:val="auto"/>
        <w:rPr>
          <w:rFonts w:hint="eastAsia" w:ascii="Times New Roman" w:hAnsi="Times New Roman" w:eastAsia="仿宋_GB2312" w:cs="仿宋"/>
          <w:b w:val="0"/>
          <w:bCs w:val="0"/>
          <w:sz w:val="21"/>
          <w:szCs w:val="21"/>
          <w:lang w:val="en-US" w:eastAsia="zh-CN"/>
        </w:rPr>
      </w:pPr>
      <w:r>
        <w:rPr>
          <w:rFonts w:hint="eastAsia" w:ascii="Times New Roman" w:hAnsi="Times New Roman" w:eastAsia="仿宋_GB2312" w:cs="仿宋"/>
          <w:b w:val="0"/>
          <w:bCs w:val="0"/>
          <w:kern w:val="0"/>
          <w:sz w:val="21"/>
          <w:szCs w:val="21"/>
          <w:lang w:val="en-US" w:eastAsia="zh-CN"/>
        </w:rPr>
        <w:t>偏离性质以招标人列示招标文件为基准，作出对招标人有利修改的为正偏离，反之为负偏离。</w:t>
      </w:r>
    </w:p>
    <w:p w14:paraId="1397C5A5">
      <w:pPr>
        <w:keepNext w:val="0"/>
        <w:keepLines w:val="0"/>
        <w:pageBreakBefore w:val="0"/>
        <w:widowControl w:val="0"/>
        <w:numPr>
          <w:ilvl w:val="0"/>
          <w:numId w:val="14"/>
        </w:numPr>
        <w:kinsoku/>
        <w:wordWrap/>
        <w:overflowPunct/>
        <w:topLinePunct w:val="0"/>
        <w:autoSpaceDE/>
        <w:autoSpaceDN/>
        <w:bidi w:val="0"/>
        <w:adjustRightInd/>
        <w:snapToGrid/>
        <w:spacing w:line="240" w:lineRule="exact"/>
        <w:ind w:firstLine="420" w:firstLineChars="200"/>
        <w:textAlignment w:val="auto"/>
        <w:rPr>
          <w:rFonts w:hint="eastAsia" w:ascii="Times New Roman" w:hAnsi="Times New Roman" w:eastAsia="仿宋_GB2312" w:cs="仿宋"/>
          <w:b w:val="0"/>
          <w:bCs w:val="0"/>
          <w:kern w:val="2"/>
          <w:sz w:val="21"/>
          <w:szCs w:val="21"/>
        </w:rPr>
      </w:pPr>
      <w:r>
        <w:rPr>
          <w:rFonts w:hint="eastAsia" w:ascii="Times New Roman" w:hAnsi="Times New Roman" w:eastAsia="仿宋_GB2312" w:cs="仿宋"/>
          <w:b w:val="0"/>
          <w:bCs w:val="0"/>
          <w:sz w:val="21"/>
          <w:szCs w:val="21"/>
        </w:rPr>
        <w:t>投标人应准确完整阅读</w:t>
      </w:r>
      <w:r>
        <w:rPr>
          <w:rFonts w:hint="eastAsia" w:ascii="Times New Roman" w:hAnsi="Times New Roman" w:eastAsia="仿宋_GB2312" w:cs="仿宋"/>
          <w:b w:val="0"/>
          <w:bCs w:val="0"/>
          <w:sz w:val="21"/>
          <w:szCs w:val="21"/>
          <w:lang w:val="en-US" w:eastAsia="zh-CN"/>
        </w:rPr>
        <w:t>招标</w:t>
      </w:r>
      <w:r>
        <w:rPr>
          <w:rFonts w:hint="eastAsia" w:ascii="Times New Roman" w:hAnsi="Times New Roman" w:eastAsia="仿宋_GB2312" w:cs="仿宋"/>
          <w:b w:val="0"/>
          <w:bCs w:val="0"/>
          <w:sz w:val="21"/>
          <w:szCs w:val="21"/>
        </w:rPr>
        <w:t>文件并就</w:t>
      </w:r>
      <w:r>
        <w:rPr>
          <w:rFonts w:hint="eastAsia" w:ascii="Times New Roman" w:hAnsi="Times New Roman" w:eastAsia="仿宋_GB2312" w:cs="仿宋"/>
          <w:b w:val="0"/>
          <w:bCs w:val="0"/>
          <w:sz w:val="21"/>
          <w:szCs w:val="21"/>
          <w:lang w:val="en-US" w:eastAsia="zh-CN"/>
        </w:rPr>
        <w:t>招标</w:t>
      </w:r>
      <w:r>
        <w:rPr>
          <w:rFonts w:hint="eastAsia" w:ascii="Times New Roman" w:hAnsi="Times New Roman" w:eastAsia="仿宋_GB2312" w:cs="仿宋"/>
          <w:b w:val="0"/>
          <w:bCs w:val="0"/>
          <w:sz w:val="21"/>
          <w:szCs w:val="21"/>
        </w:rPr>
        <w:t>文件内合同条款与投标人实际提供服务产生的偏离情况进行完整、准确说明</w:t>
      </w:r>
      <w:r>
        <w:rPr>
          <w:rFonts w:hint="eastAsia" w:ascii="Times New Roman" w:hAnsi="Times New Roman" w:eastAsia="仿宋_GB2312" w:cs="仿宋"/>
          <w:b w:val="0"/>
          <w:bCs w:val="0"/>
          <w:sz w:val="21"/>
          <w:szCs w:val="21"/>
          <w:lang w:eastAsia="zh-CN"/>
        </w:rPr>
        <w:t>，</w:t>
      </w:r>
      <w:r>
        <w:rPr>
          <w:rFonts w:hint="eastAsia" w:ascii="Times New Roman" w:hAnsi="Times New Roman" w:eastAsia="仿宋_GB2312" w:cs="仿宋"/>
          <w:b w:val="0"/>
          <w:bCs w:val="0"/>
          <w:sz w:val="21"/>
          <w:szCs w:val="21"/>
          <w:lang w:val="en-US" w:eastAsia="zh-CN"/>
        </w:rPr>
        <w:t>投标人未予列示的，默认为无偏离承诺</w:t>
      </w:r>
      <w:r>
        <w:rPr>
          <w:rFonts w:hint="eastAsia" w:ascii="Times New Roman" w:hAnsi="Times New Roman" w:eastAsia="仿宋_GB2312" w:cs="仿宋"/>
          <w:b w:val="0"/>
          <w:bCs w:val="0"/>
          <w:sz w:val="21"/>
          <w:szCs w:val="21"/>
        </w:rPr>
        <w:t>。投标人未在本表中示明，但在服务方案中存在偏离的情况，</w:t>
      </w:r>
      <w:r>
        <w:rPr>
          <w:rFonts w:hint="eastAsia" w:ascii="Times New Roman" w:hAnsi="Times New Roman" w:eastAsia="仿宋_GB2312" w:cs="仿宋"/>
          <w:b w:val="0"/>
          <w:bCs w:val="0"/>
          <w:sz w:val="21"/>
          <w:szCs w:val="21"/>
          <w:lang w:val="en-US" w:eastAsia="zh-CN"/>
        </w:rPr>
        <w:t>招标</w:t>
      </w:r>
      <w:r>
        <w:rPr>
          <w:rFonts w:hint="eastAsia" w:ascii="Times New Roman" w:hAnsi="Times New Roman" w:eastAsia="仿宋_GB2312" w:cs="仿宋"/>
          <w:b w:val="0"/>
          <w:bCs w:val="0"/>
          <w:sz w:val="21"/>
          <w:szCs w:val="21"/>
        </w:rPr>
        <w:t>人有权判定为废标。</w:t>
      </w:r>
    </w:p>
    <w:p w14:paraId="2402FAF2">
      <w:pPr>
        <w:pageBreakBefore w:val="0"/>
        <w:widowControl w:val="0"/>
        <w:numPr>
          <w:ilvl w:val="0"/>
          <w:numId w:val="0"/>
        </w:numPr>
        <w:kinsoku/>
        <w:wordWrap/>
        <w:overflowPunct/>
        <w:topLinePunct w:val="0"/>
        <w:autoSpaceDE/>
        <w:autoSpaceDN/>
        <w:bidi w:val="0"/>
        <w:adjustRightInd/>
        <w:snapToGrid/>
        <w:spacing w:beforeLines="50" w:line="240" w:lineRule="auto"/>
        <w:ind w:leftChars="200"/>
        <w:textAlignment w:val="auto"/>
        <w:rPr>
          <w:rFonts w:hint="eastAsia" w:ascii="仿宋" w:hAnsi="仿宋" w:eastAsia="仿宋" w:cs="仿宋"/>
          <w:b w:val="0"/>
          <w:bCs w:val="0"/>
          <w:sz w:val="21"/>
          <w:szCs w:val="21"/>
        </w:rPr>
      </w:pPr>
    </w:p>
    <w:p w14:paraId="6D3E3E56">
      <w:pPr>
        <w:pageBreakBefore w:val="0"/>
        <w:widowControl w:val="0"/>
        <w:numPr>
          <w:ilvl w:val="0"/>
          <w:numId w:val="0"/>
        </w:numPr>
        <w:kinsoku/>
        <w:wordWrap/>
        <w:overflowPunct/>
        <w:topLinePunct w:val="0"/>
        <w:autoSpaceDE/>
        <w:autoSpaceDN/>
        <w:bidi w:val="0"/>
        <w:adjustRightInd/>
        <w:snapToGrid/>
        <w:spacing w:beforeLines="50" w:line="240" w:lineRule="auto"/>
        <w:ind w:leftChars="200"/>
        <w:textAlignment w:val="auto"/>
        <w:rPr>
          <w:rFonts w:hint="eastAsia" w:ascii="仿宋" w:hAnsi="仿宋" w:eastAsia="仿宋" w:cs="仿宋"/>
          <w:b w:val="0"/>
          <w:bCs w:val="0"/>
          <w:sz w:val="21"/>
          <w:szCs w:val="21"/>
        </w:rPr>
      </w:pPr>
    </w:p>
    <w:p w14:paraId="68CF1F44">
      <w:pPr>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lang w:eastAsia="zh-CN"/>
        </w:rPr>
        <w:t>投标人</w:t>
      </w:r>
      <w:r>
        <w:rPr>
          <w:rFonts w:hint="eastAsia" w:ascii="仿宋_GB2312" w:hAnsi="仿宋_GB2312" w:eastAsia="仿宋_GB2312" w:cs="仿宋_GB2312"/>
          <w:b w:val="0"/>
          <w:bCs/>
          <w:kern w:val="0"/>
          <w:sz w:val="24"/>
          <w:szCs w:val="24"/>
        </w:rPr>
        <w:t>名称（公章）：</w:t>
      </w:r>
    </w:p>
    <w:p w14:paraId="2493A974">
      <w:pPr>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kern w:val="0"/>
          <w:sz w:val="24"/>
          <w:szCs w:val="24"/>
        </w:rPr>
      </w:pPr>
      <w:r>
        <w:rPr>
          <w:rFonts w:hint="eastAsia" w:ascii="仿宋_GB2312" w:hAnsi="仿宋_GB2312" w:eastAsia="仿宋_GB2312" w:cs="仿宋_GB2312"/>
          <w:b w:val="0"/>
          <w:bCs/>
          <w:kern w:val="0"/>
          <w:sz w:val="24"/>
          <w:szCs w:val="24"/>
        </w:rPr>
        <w:t>法定代表人（法定授权代表人）签名：</w:t>
      </w:r>
    </w:p>
    <w:p w14:paraId="04E68D98">
      <w:pPr>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sz w:val="24"/>
          <w:szCs w:val="24"/>
          <w:highlight w:val="none"/>
        </w:rPr>
        <w:sectPr>
          <w:headerReference r:id="rId9" w:type="default"/>
          <w:footerReference r:id="rId10" w:type="default"/>
          <w:pgSz w:w="11906" w:h="16838"/>
          <w:pgMar w:top="1440" w:right="1274" w:bottom="1135" w:left="1418" w:header="851" w:footer="274" w:gutter="0"/>
          <w:pgBorders>
            <w:top w:val="none" w:sz="0" w:space="0"/>
            <w:left w:val="none" w:sz="0" w:space="0"/>
            <w:bottom w:val="none" w:sz="0" w:space="0"/>
            <w:right w:val="none" w:sz="0" w:space="0"/>
          </w:pgBorders>
          <w:pgNumType w:fmt="decimal"/>
          <w:cols w:space="425" w:num="1"/>
          <w:docGrid w:linePitch="312" w:charSpace="0"/>
        </w:sectPr>
      </w:pPr>
      <w:r>
        <w:rPr>
          <w:rFonts w:hint="eastAsia" w:ascii="仿宋_GB2312" w:hAnsi="仿宋_GB2312" w:eastAsia="仿宋_GB2312" w:cs="仿宋_GB2312"/>
          <w:b w:val="0"/>
          <w:bCs/>
          <w:kern w:val="0"/>
          <w:sz w:val="24"/>
          <w:szCs w:val="24"/>
        </w:rPr>
        <w:t>日期：</w:t>
      </w:r>
      <w:r>
        <w:rPr>
          <w:rFonts w:hint="eastAsia" w:ascii="仿宋" w:hAnsi="仿宋" w:eastAsia="仿宋" w:cs="仿宋"/>
          <w:bCs/>
          <w:kern w:val="0"/>
          <w:sz w:val="24"/>
          <w:szCs w:val="24"/>
        </w:rPr>
        <w:br w:type="page"/>
      </w:r>
    </w:p>
    <w:p w14:paraId="1FDD2C15">
      <w:pPr>
        <w:pStyle w:val="4"/>
        <w:pageBreakBefore w:val="0"/>
        <w:widowControl w:val="0"/>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 w:hAnsi="仿宋" w:eastAsia="仿宋" w:cs="仿宋"/>
          <w:b w:val="0"/>
          <w:bCs/>
          <w:sz w:val="24"/>
          <w:szCs w:val="24"/>
          <w:highlight w:val="none"/>
          <w:lang w:val="zh-CN"/>
        </w:rPr>
      </w:pPr>
      <w:bookmarkStart w:id="64" w:name="_Toc27438"/>
      <w:r>
        <w:rPr>
          <w:rFonts w:hint="eastAsia" w:ascii="仿宋_GB2312" w:hAnsi="仿宋_GB2312" w:eastAsia="仿宋_GB2312" w:cs="仿宋_GB2312"/>
          <w:b w:val="0"/>
          <w:bCs/>
          <w:sz w:val="24"/>
          <w:szCs w:val="24"/>
          <w:highlight w:val="none"/>
          <w:lang w:val="zh-CN"/>
        </w:rPr>
        <w:t>格式</w:t>
      </w:r>
      <w:r>
        <w:rPr>
          <w:rFonts w:hint="eastAsia" w:ascii="仿宋_GB2312" w:hAnsi="仿宋_GB2312" w:eastAsia="仿宋_GB2312" w:cs="仿宋_GB2312"/>
          <w:b w:val="0"/>
          <w:bCs/>
          <w:sz w:val="24"/>
          <w:szCs w:val="24"/>
          <w:highlight w:val="none"/>
          <w:lang w:val="en-US" w:eastAsia="zh-CN"/>
        </w:rPr>
        <w:t>5</w:t>
      </w:r>
      <w:r>
        <w:rPr>
          <w:rFonts w:hint="eastAsia" w:ascii="仿宋_GB2312" w:hAnsi="仿宋_GB2312" w:eastAsia="仿宋_GB2312" w:cs="仿宋_GB2312"/>
          <w:b w:val="0"/>
          <w:bCs/>
          <w:sz w:val="24"/>
          <w:szCs w:val="24"/>
          <w:highlight w:val="none"/>
          <w:lang w:val="zh-CN"/>
        </w:rPr>
        <w:t>：</w:t>
      </w:r>
      <w:r>
        <w:rPr>
          <w:rFonts w:hint="eastAsia" w:ascii="仿宋_GB2312" w:hAnsi="仿宋_GB2312" w:eastAsia="仿宋_GB2312" w:cs="仿宋_GB2312"/>
          <w:b w:val="0"/>
          <w:bCs/>
          <w:sz w:val="24"/>
          <w:szCs w:val="24"/>
          <w:highlight w:val="none"/>
          <w:lang w:val="en-US" w:eastAsia="zh-CN"/>
        </w:rPr>
        <w:t>廉洁</w:t>
      </w:r>
      <w:r>
        <w:rPr>
          <w:rFonts w:hint="eastAsia" w:ascii="仿宋_GB2312" w:hAnsi="仿宋_GB2312" w:eastAsia="仿宋_GB2312" w:cs="仿宋_GB2312"/>
          <w:b w:val="0"/>
          <w:bCs/>
          <w:sz w:val="24"/>
          <w:szCs w:val="24"/>
          <w:highlight w:val="none"/>
          <w:lang w:val="zh-CN"/>
        </w:rPr>
        <w:t>承诺函</w:t>
      </w:r>
      <w:bookmarkEnd w:id="59"/>
      <w:bookmarkEnd w:id="64"/>
    </w:p>
    <w:p w14:paraId="02FA32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lang w:val="en-US" w:eastAsia="zh-CN"/>
        </w:rPr>
        <w:t>廉洁</w:t>
      </w:r>
      <w:r>
        <w:rPr>
          <w:rFonts w:hint="eastAsia" w:ascii="方正小标宋简体" w:hAnsi="方正小标宋简体" w:eastAsia="方正小标宋简体" w:cs="方正小标宋简体"/>
          <w:b w:val="0"/>
          <w:bCs/>
          <w:sz w:val="44"/>
          <w:szCs w:val="44"/>
          <w:highlight w:val="none"/>
        </w:rPr>
        <w:t>承诺函</w:t>
      </w:r>
    </w:p>
    <w:p w14:paraId="7DF18C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40"/>
          <w:szCs w:val="40"/>
          <w:highlight w:val="none"/>
        </w:rPr>
      </w:pPr>
    </w:p>
    <w:p w14:paraId="5D07CCC1">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致 深圳市鹏劳人力资源管理有限公司：</w:t>
      </w:r>
    </w:p>
    <w:p w14:paraId="5E09975D">
      <w:pPr>
        <w:keepNext w:val="0"/>
        <w:keepLines w:val="0"/>
        <w:pageBreakBefore w:val="0"/>
        <w:widowControl/>
        <w:kinsoku/>
        <w:wordWrap w:val="0"/>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我司有意参与贵司【</w:t>
      </w:r>
      <w:r>
        <w:rPr>
          <w:rFonts w:hint="eastAsia" w:ascii="Times New Roman" w:hAnsi="Times New Roman" w:eastAsia="仿宋_GB2312" w:cs="仿宋_GB2312"/>
          <w:b w:val="0"/>
          <w:bCs/>
          <w:sz w:val="24"/>
          <w:szCs w:val="24"/>
          <w:highlight w:val="none"/>
          <w:u w:val="single"/>
          <w:lang w:val="en-US" w:eastAsia="zh-CN"/>
        </w:rPr>
        <w:t>2025年度</w:t>
      </w:r>
      <w:r>
        <w:rPr>
          <w:rFonts w:hint="eastAsia" w:ascii="Times New Roman" w:hAnsi="Times New Roman" w:eastAsia="仿宋_GB2312" w:cs="仿宋_GB2312"/>
          <w:b w:val="0"/>
          <w:bCs/>
          <w:sz w:val="24"/>
          <w:szCs w:val="24"/>
          <w:highlight w:val="none"/>
          <w:u w:val="single"/>
          <w:lang w:eastAsia="zh-CN"/>
        </w:rPr>
        <w:t>员工健康体检</w:t>
      </w:r>
      <w:r>
        <w:rPr>
          <w:rFonts w:hint="eastAsia" w:ascii="Times New Roman" w:hAnsi="Times New Roman" w:eastAsia="仿宋_GB2312" w:cs="仿宋_GB2312"/>
          <w:b w:val="0"/>
          <w:bCs/>
          <w:sz w:val="24"/>
          <w:szCs w:val="24"/>
          <w:highlight w:val="none"/>
          <w:u w:val="single"/>
          <w:lang w:val="en-US" w:eastAsia="zh-CN"/>
        </w:rPr>
        <w:t>项目（二次）</w:t>
      </w:r>
      <w:r>
        <w:rPr>
          <w:rFonts w:hint="eastAsia" w:ascii="Times New Roman" w:hAnsi="Times New Roman" w:eastAsia="仿宋_GB2312" w:cs="仿宋_GB2312"/>
          <w:b w:val="0"/>
          <w:bCs/>
          <w:sz w:val="24"/>
          <w:szCs w:val="24"/>
          <w:highlight w:val="none"/>
        </w:rPr>
        <w:t>】</w:t>
      </w:r>
      <w:r>
        <w:rPr>
          <w:rFonts w:hint="eastAsia" w:ascii="Times New Roman" w:hAnsi="Times New Roman" w:eastAsia="仿宋_GB2312" w:cs="仿宋_GB2312"/>
          <w:b w:val="0"/>
          <w:bCs/>
          <w:sz w:val="24"/>
          <w:szCs w:val="24"/>
          <w:highlight w:val="none"/>
          <w:lang w:eastAsia="zh-CN"/>
        </w:rPr>
        <w:t>（项目编号</w:t>
      </w:r>
      <w:r>
        <w:rPr>
          <w:rFonts w:hint="eastAsia" w:ascii="Times New Roman" w:hAnsi="Times New Roman" w:eastAsia="仿宋_GB2312" w:cs="仿宋_GB2312"/>
          <w:b w:val="0"/>
          <w:bCs/>
          <w:sz w:val="24"/>
          <w:szCs w:val="24"/>
          <w:highlight w:val="none"/>
          <w:lang w:val="en-US" w:eastAsia="zh-CN"/>
        </w:rPr>
        <w:t>PLHR-ZB-FW-20250601</w:t>
      </w:r>
      <w:r>
        <w:rPr>
          <w:rFonts w:hint="eastAsia" w:ascii="Times New Roman" w:hAnsi="Times New Roman" w:eastAsia="仿宋_GB2312" w:cs="仿宋_GB2312"/>
          <w:b w:val="0"/>
          <w:bCs/>
          <w:sz w:val="24"/>
          <w:szCs w:val="24"/>
          <w:highlight w:val="none"/>
          <w:lang w:eastAsia="zh-CN"/>
        </w:rPr>
        <w:t>）</w:t>
      </w:r>
      <w:r>
        <w:rPr>
          <w:rFonts w:hint="eastAsia" w:ascii="仿宋_GB2312" w:hAnsi="仿宋_GB2312" w:eastAsia="仿宋_GB2312" w:cs="仿宋_GB2312"/>
          <w:b w:val="0"/>
          <w:bCs/>
          <w:sz w:val="24"/>
          <w:szCs w:val="24"/>
          <w:highlight w:val="none"/>
        </w:rPr>
        <w:t>投标，为保证招投标工作的公平公正及充分竞争，在此，我司郑重承诺如下：</w:t>
      </w:r>
    </w:p>
    <w:p w14:paraId="5C074F29">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一、我司承诺在投标过程中对于如下行为坚决抵制并向贵司及时通报：</w:t>
      </w:r>
    </w:p>
    <w:p w14:paraId="155F9F41">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1.招标人或招标相关单位人员利用职务上的便利，自行或通过他人向我司推荐供应商（分包商）；</w:t>
      </w:r>
    </w:p>
    <w:p w14:paraId="1E42E316">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2.其他投标参与方自行或委托他人私下与我司联系串通投标事宜；</w:t>
      </w:r>
    </w:p>
    <w:p w14:paraId="61302359">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3.招标人及招标相关单位的人员在招标投标过程中，人为设置障碍，索要或暗示索要现金、股票、股权、各种有价证券、支付凭证或贵重物品等。</w:t>
      </w:r>
    </w:p>
    <w:p w14:paraId="025F9D0B">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二、我司承诺依法合规参与本项目竞争，严格本公司投标代表及相关员工管理，具体内容如下：</w:t>
      </w:r>
    </w:p>
    <w:p w14:paraId="6248A3F1">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1.我司不会以任何理由任何方式进行串通投标等不正当竞争的违法违规行为；</w:t>
      </w:r>
    </w:p>
    <w:p w14:paraId="3889CEA1">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2.我司或我司员工不以任何理由任何方式，向贵司及招标相关单位的人员赠送现金、股票、股权、各种有价证券、支付凭证或贵重物品等；</w:t>
      </w:r>
    </w:p>
    <w:p w14:paraId="1ED6A4AE">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3.我司或我司员工不以任何理由任何方式，向贵司及招标相关单位的人员发出健身、娱乐活动的邀请，或对贵司及招标相关单位的人员进行超标准接待；</w:t>
      </w:r>
    </w:p>
    <w:p w14:paraId="789359A6">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4.参与贵司项目投标及与投标相关的交流调研过程中，我司保证向贵司所提供信息的真实性和准确性，且不会将拟投标项目进行任何形式的转包或挂靠。</w:t>
      </w:r>
    </w:p>
    <w:p w14:paraId="2FEB7A21">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5.参与贵司招标项目投标过程中，我司承诺所有招标相关信息交流在工作场所公开进行，文件传递应通过公司传真或工作邮箱。不私下打探招标项目非公开信息（如其他投标人信息、标底详细信息、评标专家信息、评标过程信息等），不与贵司及招标相关单位的人员就招标相关信息进行私下商谈或者达成利益默契。</w:t>
      </w:r>
    </w:p>
    <w:p w14:paraId="07FF57F6">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6.我司及我司派出的投标代表及工作人员授权贵司对本项目下我司投标工作进行监督，在贵司办公场所内合理使用包括录音录像、派员监督等手段开展监督工作。</w:t>
      </w:r>
    </w:p>
    <w:p w14:paraId="480110AB">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7.如果我司中标，将严格遵照本项目招标文件需求、投标承诺及合同约定做到诚信履约，为贵司提供最优服务；</w:t>
      </w:r>
    </w:p>
    <w:p w14:paraId="77F501D9">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8.我司已认真核实了投标文件的全部资料，所有资料均为真实资料。我公司对投标文件中全部投标资料的真实性负责。</w:t>
      </w:r>
    </w:p>
    <w:p w14:paraId="755D96E4">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以上承诺，如有违反，我司将配合贵司进行调查和严肃处理，并自行承担不能参与本项目投标或承包本项目的资格、以及今后可能不能参加贵司其他项目的投标、无法进入贵司供应商库等一切不利后果，并承担由此给贵司带来的损失。</w:t>
      </w:r>
    </w:p>
    <w:p w14:paraId="64FDC3EB">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p>
    <w:p w14:paraId="68D9787B">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p>
    <w:p w14:paraId="6802F216">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_GB2312" w:hAnsi="仿宋_GB2312" w:eastAsia="仿宋_GB2312" w:cs="仿宋_GB2312"/>
          <w:b w:val="0"/>
          <w:bCs/>
          <w:sz w:val="24"/>
          <w:szCs w:val="24"/>
          <w:highlight w:val="none"/>
        </w:rPr>
      </w:pPr>
    </w:p>
    <w:p w14:paraId="3BABA08A">
      <w:pPr>
        <w:keepNext w:val="0"/>
        <w:keepLines w:val="0"/>
        <w:pageBreakBefore w:val="0"/>
        <w:widowControl/>
        <w:kinsoku/>
        <w:wordWrap/>
        <w:overflowPunct/>
        <w:topLinePunct w:val="0"/>
        <w:autoSpaceDE/>
        <w:autoSpaceDN/>
        <w:bidi w:val="0"/>
        <w:adjustRightInd/>
        <w:snapToGrid/>
        <w:spacing w:line="560" w:lineRule="exact"/>
        <w:ind w:firstLine="547" w:firstLineChars="228"/>
        <w:jc w:val="left"/>
        <w:textAlignment w:val="auto"/>
        <w:rPr>
          <w:rFonts w:hint="eastAsia" w:ascii="仿宋_GB2312" w:hAnsi="仿宋_GB2312" w:eastAsia="仿宋_GB2312" w:cs="仿宋_GB2312"/>
          <w:b w:val="0"/>
          <w:bCs/>
          <w:sz w:val="24"/>
          <w:szCs w:val="24"/>
          <w:highlight w:val="none"/>
        </w:rPr>
      </w:pPr>
    </w:p>
    <w:p w14:paraId="0E169E34">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投标</w:t>
      </w:r>
      <w:r>
        <w:rPr>
          <w:rFonts w:hint="eastAsia" w:ascii="仿宋_GB2312" w:hAnsi="仿宋_GB2312" w:eastAsia="仿宋_GB2312" w:cs="仿宋_GB2312"/>
          <w:b w:val="0"/>
          <w:bCs/>
          <w:kern w:val="0"/>
          <w:sz w:val="24"/>
          <w:szCs w:val="24"/>
          <w:highlight w:val="none"/>
          <w:lang w:eastAsia="zh-CN"/>
        </w:rPr>
        <w:t>人</w:t>
      </w:r>
      <w:r>
        <w:rPr>
          <w:rFonts w:hint="eastAsia" w:ascii="仿宋_GB2312" w:hAnsi="仿宋_GB2312" w:eastAsia="仿宋_GB2312" w:cs="仿宋_GB2312"/>
          <w:b w:val="0"/>
          <w:bCs/>
          <w:kern w:val="0"/>
          <w:sz w:val="24"/>
          <w:szCs w:val="24"/>
          <w:highlight w:val="none"/>
        </w:rPr>
        <w:t>（公章）：</w:t>
      </w:r>
    </w:p>
    <w:p w14:paraId="3AE328A6">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法定代表人（法定授权代表人）签名：</w:t>
      </w:r>
    </w:p>
    <w:p w14:paraId="03D8DB83">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kern w:val="0"/>
          <w:sz w:val="24"/>
          <w:szCs w:val="24"/>
          <w:highlight w:val="none"/>
        </w:rPr>
      </w:pPr>
      <w:r>
        <w:rPr>
          <w:rFonts w:hint="eastAsia" w:ascii="仿宋_GB2312" w:hAnsi="仿宋_GB2312" w:eastAsia="仿宋_GB2312" w:cs="仿宋_GB2312"/>
          <w:b w:val="0"/>
          <w:bCs/>
          <w:kern w:val="0"/>
          <w:sz w:val="24"/>
          <w:szCs w:val="24"/>
          <w:highlight w:val="none"/>
        </w:rPr>
        <w:t>日期：</w:t>
      </w:r>
    </w:p>
    <w:p w14:paraId="0B3FBFF7">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kern w:val="0"/>
          <w:sz w:val="24"/>
          <w:szCs w:val="24"/>
          <w:highlight w:val="none"/>
        </w:rPr>
      </w:pPr>
    </w:p>
    <w:p w14:paraId="6CA4F074">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val="0"/>
          <w:bCs/>
          <w:kern w:val="0"/>
          <w:sz w:val="24"/>
          <w:szCs w:val="24"/>
          <w:highlight w:val="none"/>
        </w:rPr>
      </w:pPr>
    </w:p>
    <w:p w14:paraId="12CF43C5">
      <w:pPr>
        <w:pStyle w:val="4"/>
        <w:pageBreakBefore w:val="0"/>
        <w:widowControl w:val="0"/>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b w:val="0"/>
          <w:bCs/>
          <w:sz w:val="24"/>
          <w:szCs w:val="24"/>
          <w:highlight w:val="none"/>
          <w:lang w:val="zh-CN"/>
        </w:rPr>
      </w:pPr>
      <w:bookmarkStart w:id="65" w:name="_Toc12501"/>
      <w:r>
        <w:rPr>
          <w:rFonts w:hint="eastAsia" w:ascii="仿宋_GB2312" w:hAnsi="仿宋_GB2312" w:eastAsia="仿宋_GB2312" w:cs="仿宋_GB2312"/>
          <w:b w:val="0"/>
          <w:bCs/>
          <w:sz w:val="24"/>
          <w:szCs w:val="24"/>
          <w:highlight w:val="none"/>
          <w:lang w:val="zh-CN"/>
        </w:rPr>
        <w:t>格式</w:t>
      </w:r>
      <w:r>
        <w:rPr>
          <w:rFonts w:hint="eastAsia" w:ascii="仿宋_GB2312" w:hAnsi="仿宋_GB2312" w:eastAsia="仿宋_GB2312" w:cs="仿宋_GB2312"/>
          <w:b w:val="0"/>
          <w:bCs/>
          <w:sz w:val="24"/>
          <w:szCs w:val="24"/>
          <w:highlight w:val="none"/>
          <w:lang w:val="en-US" w:eastAsia="zh-CN"/>
        </w:rPr>
        <w:t>6</w:t>
      </w:r>
      <w:r>
        <w:rPr>
          <w:rFonts w:hint="eastAsia" w:ascii="仿宋_GB2312" w:hAnsi="仿宋_GB2312" w:eastAsia="仿宋_GB2312" w:cs="仿宋_GB2312"/>
          <w:b w:val="0"/>
          <w:bCs/>
          <w:sz w:val="24"/>
          <w:szCs w:val="24"/>
          <w:highlight w:val="none"/>
          <w:lang w:val="zh-CN"/>
        </w:rPr>
        <w:t>：</w:t>
      </w:r>
      <w:r>
        <w:rPr>
          <w:rFonts w:hint="eastAsia" w:ascii="仿宋_GB2312" w:hAnsi="仿宋_GB2312" w:eastAsia="仿宋_GB2312" w:cs="仿宋_GB2312"/>
          <w:b w:val="0"/>
          <w:bCs/>
          <w:sz w:val="24"/>
          <w:szCs w:val="24"/>
          <w:highlight w:val="none"/>
          <w:lang w:val="en-US" w:eastAsia="zh-CN"/>
        </w:rPr>
        <w:t>服务保价</w:t>
      </w:r>
      <w:r>
        <w:rPr>
          <w:rFonts w:hint="eastAsia" w:ascii="仿宋_GB2312" w:hAnsi="仿宋_GB2312" w:eastAsia="仿宋_GB2312" w:cs="仿宋_GB2312"/>
          <w:b w:val="0"/>
          <w:bCs/>
          <w:sz w:val="24"/>
          <w:szCs w:val="24"/>
          <w:highlight w:val="none"/>
          <w:lang w:val="zh-CN"/>
        </w:rPr>
        <w:t>承诺函</w:t>
      </w:r>
      <w:bookmarkEnd w:id="65"/>
    </w:p>
    <w:p w14:paraId="1F3FB000">
      <w:pPr>
        <w:keepNext w:val="0"/>
        <w:keepLines w:val="0"/>
        <w:pageBreakBefore w:val="0"/>
        <w:widowControl w:val="0"/>
        <w:kinsoku/>
        <w:overflow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65F2CAB4">
      <w:pPr>
        <w:keepNext w:val="0"/>
        <w:keepLines w:val="0"/>
        <w:pageBreakBefore w:val="0"/>
        <w:widowControl w:val="0"/>
        <w:kinsoku/>
        <w:overflow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服务保价承诺函</w:t>
      </w:r>
    </w:p>
    <w:p w14:paraId="270DD9CC">
      <w:pPr>
        <w:keepNext w:val="0"/>
        <w:keepLines w:val="0"/>
        <w:pageBreakBefore w:val="0"/>
        <w:widowControl w:val="0"/>
        <w:kinsoku/>
        <w:overflow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025B0AFF">
      <w:pPr>
        <w:keepNext w:val="0"/>
        <w:keepLines w:val="0"/>
        <w:pageBreakBefore w:val="0"/>
        <w:widowControl w:val="0"/>
        <w:kinsoku/>
        <w:overflowPunct/>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致：深圳市鹏劳人力资源管理有限公司</w:t>
      </w:r>
    </w:p>
    <w:p w14:paraId="72184E23">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我院参与贵司2025年度员工健康体检项目投标，如我院中标本项目，我院就本项</w:t>
      </w:r>
      <w:r>
        <w:rPr>
          <w:rFonts w:hint="eastAsia" w:ascii="仿宋_GB2312" w:hAnsi="仿宋_GB2312" w:eastAsia="仿宋_GB2312" w:cs="仿宋_GB2312"/>
          <w:sz w:val="32"/>
          <w:szCs w:val="32"/>
          <w:lang w:val="en-US" w:eastAsia="zh-CN"/>
        </w:rPr>
        <w:t>目员工自费加检非医保项目价格作出承诺，如获选中标，在实际履约过程中违反承诺的，视同违约并承担不利后果，具体承诺内容如下：</w:t>
      </w:r>
    </w:p>
    <w:p w14:paraId="6955A1C9">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我院承诺本项目所有员工自费加检非医保项目价格折扣基础均按我院对外统一门市价</w:t>
      </w:r>
      <w:r>
        <w:rPr>
          <w:rFonts w:hint="default" w:ascii="仿宋_GB2312" w:hAnsi="仿宋_GB2312" w:eastAsia="仿宋_GB2312" w:cs="仿宋_GB2312"/>
          <w:sz w:val="32"/>
          <w:szCs w:val="32"/>
          <w:lang w:eastAsia="zh-CN"/>
        </w:rPr>
        <w:t>执行</w:t>
      </w:r>
      <w:r>
        <w:rPr>
          <w:rFonts w:hint="eastAsia" w:ascii="仿宋_GB2312" w:hAnsi="仿宋_GB2312" w:eastAsia="仿宋_GB2312" w:cs="仿宋_GB2312"/>
          <w:sz w:val="32"/>
          <w:szCs w:val="32"/>
          <w:lang w:val="en-US" w:eastAsia="zh-CN"/>
        </w:rPr>
        <w:t>，无虚增价格的情况，我</w:t>
      </w:r>
      <w:r>
        <w:rPr>
          <w:rFonts w:hint="default" w:ascii="仿宋_GB2312" w:hAnsi="仿宋_GB2312" w:eastAsia="仿宋_GB2312" w:cs="仿宋_GB2312"/>
          <w:sz w:val="32"/>
          <w:szCs w:val="32"/>
          <w:lang w:eastAsia="zh-CN"/>
        </w:rPr>
        <w:t>院</w:t>
      </w:r>
      <w:r>
        <w:rPr>
          <w:rFonts w:hint="eastAsia" w:ascii="仿宋_GB2312" w:hAnsi="仿宋_GB2312" w:eastAsia="仿宋_GB2312" w:cs="仿宋_GB2312"/>
          <w:sz w:val="32"/>
          <w:szCs w:val="32"/>
          <w:lang w:val="en-US" w:eastAsia="zh-CN"/>
        </w:rPr>
        <w:t>接受招标人在</w:t>
      </w:r>
      <w:r>
        <w:rPr>
          <w:rFonts w:hint="default" w:ascii="仿宋_GB2312" w:hAnsi="仿宋_GB2312" w:eastAsia="仿宋_GB2312" w:cs="仿宋_GB2312"/>
          <w:sz w:val="32"/>
          <w:szCs w:val="32"/>
          <w:lang w:eastAsia="zh-CN"/>
        </w:rPr>
        <w:t>采购全阶段</w:t>
      </w:r>
      <w:r>
        <w:rPr>
          <w:rFonts w:hint="eastAsia" w:ascii="仿宋_GB2312" w:hAnsi="仿宋_GB2312" w:eastAsia="仿宋_GB2312" w:cs="仿宋_GB2312"/>
          <w:sz w:val="32"/>
          <w:szCs w:val="32"/>
          <w:lang w:val="en-US" w:eastAsia="zh-CN"/>
        </w:rPr>
        <w:t>对</w:t>
      </w:r>
      <w:r>
        <w:rPr>
          <w:rFonts w:hint="default" w:ascii="仿宋_GB2312" w:hAnsi="仿宋_GB2312" w:eastAsia="仿宋_GB2312" w:cs="仿宋_GB2312"/>
          <w:sz w:val="32"/>
          <w:szCs w:val="32"/>
          <w:lang w:eastAsia="zh-CN"/>
        </w:rPr>
        <w:t>承诺有效性</w:t>
      </w:r>
      <w:r>
        <w:rPr>
          <w:rFonts w:hint="eastAsia" w:ascii="仿宋_GB2312" w:hAnsi="仿宋_GB2312" w:eastAsia="仿宋_GB2312" w:cs="仿宋_GB2312"/>
          <w:sz w:val="32"/>
          <w:szCs w:val="32"/>
          <w:lang w:val="en-US" w:eastAsia="zh-CN"/>
        </w:rPr>
        <w:t>实施复核，如复核不符合招标文件要求的，我</w:t>
      </w:r>
      <w:r>
        <w:rPr>
          <w:rFonts w:hint="default" w:ascii="仿宋_GB2312" w:hAnsi="仿宋_GB2312" w:eastAsia="仿宋_GB2312" w:cs="仿宋_GB2312"/>
          <w:sz w:val="32"/>
          <w:szCs w:val="32"/>
          <w:lang w:eastAsia="zh-CN"/>
        </w:rPr>
        <w:t>院</w:t>
      </w:r>
      <w:r>
        <w:rPr>
          <w:rFonts w:hint="eastAsia" w:ascii="仿宋_GB2312" w:hAnsi="仿宋_GB2312" w:eastAsia="仿宋_GB2312" w:cs="仿宋_GB2312"/>
          <w:sz w:val="32"/>
          <w:szCs w:val="32"/>
          <w:lang w:val="en-US" w:eastAsia="zh-CN"/>
        </w:rPr>
        <w:t>自动放弃成交。</w:t>
      </w:r>
    </w:p>
    <w:p w14:paraId="6E40DBC6">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5C4E5EA8">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04348EB8">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59CA7EC2">
      <w:pPr>
        <w:keepNext w:val="0"/>
        <w:keepLines w:val="0"/>
        <w:pageBreakBefore w:val="0"/>
        <w:widowControl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p>
    <w:p w14:paraId="24EE30E1">
      <w:pPr>
        <w:keepNext w:val="0"/>
        <w:keepLines w:val="0"/>
        <w:pageBreakBefore w:val="0"/>
        <w:widowControl w:val="0"/>
        <w:kinsoku/>
        <w:overflowPunct/>
        <w:autoSpaceDE/>
        <w:autoSpaceDN/>
        <w:bidi w:val="0"/>
        <w:adjustRightInd/>
        <w:snapToGrid/>
        <w:spacing w:line="560" w:lineRule="exact"/>
        <w:ind w:firstLine="422"/>
        <w:textAlignment w:val="auto"/>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投标人名称（公章）：</w:t>
      </w:r>
    </w:p>
    <w:p w14:paraId="58AFCB49">
      <w:pPr>
        <w:keepNext w:val="0"/>
        <w:keepLines w:val="0"/>
        <w:pageBreakBefore w:val="0"/>
        <w:widowControl w:val="0"/>
        <w:kinsoku/>
        <w:overflowPunct/>
        <w:autoSpaceDE/>
        <w:autoSpaceDN/>
        <w:bidi w:val="0"/>
        <w:adjustRightInd/>
        <w:snapToGrid/>
        <w:spacing w:line="560" w:lineRule="exact"/>
        <w:ind w:firstLine="422"/>
        <w:textAlignment w:val="auto"/>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法定代表人（法定授权代表人）签名：</w:t>
      </w:r>
    </w:p>
    <w:p w14:paraId="0F3E7122">
      <w:pPr>
        <w:keepNext w:val="0"/>
        <w:keepLines w:val="0"/>
        <w:pageBreakBefore w:val="0"/>
        <w:widowControl w:val="0"/>
        <w:kinsoku/>
        <w:overflowPunct/>
        <w:autoSpaceDE/>
        <w:autoSpaceDN/>
        <w:bidi w:val="0"/>
        <w:adjustRightInd/>
        <w:snapToGrid/>
        <w:spacing w:line="560" w:lineRule="exact"/>
        <w:ind w:firstLine="422"/>
        <w:jc w:val="left"/>
        <w:textAlignment w:val="auto"/>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日期：</w:t>
      </w:r>
    </w:p>
    <w:p w14:paraId="305E5651">
      <w:pPr>
        <w:keepNext w:val="0"/>
        <w:keepLines w:val="0"/>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b w:val="0"/>
          <w:bCs/>
          <w:kern w:val="0"/>
          <w:sz w:val="24"/>
          <w:szCs w:val="24"/>
          <w:highlight w:val="none"/>
        </w:rPr>
      </w:pPr>
    </w:p>
    <w:sectPr>
      <w:pgSz w:w="11906" w:h="16838"/>
      <w:pgMar w:top="1440" w:right="1274" w:bottom="1135" w:left="1418" w:header="851" w:footer="274" w:gutter="0"/>
      <w:pgBorders>
        <w:top w:val="none" w:sz="0" w:space="0"/>
        <w:left w:val="none" w:sz="0" w:space="0"/>
        <w:bottom w:val="none" w:sz="0" w:space="0"/>
        <w:right w:val="none" w:sz="0" w:space="0"/>
      </w:pgBorders>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8C55D">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7437AA">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2D7437AA">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6A221">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B58811">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epUsgBAACZ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XXqVLIAQAAmQMAAA4AAAAAAAAAAQAgAAAAHgEAAGRycy9lMm9Eb2Mu&#10;eG1sUEsFBgAAAAAGAAYAWQEAAFgFAAAAAA==&#10;">
              <v:fill on="f" focussize="0,0"/>
              <v:stroke on="f"/>
              <v:imagedata o:title=""/>
              <o:lock v:ext="edit" aspectratio="f"/>
              <v:textbox inset="0mm,0mm,0mm,0mm" style="mso-fit-shape-to-text:t;">
                <w:txbxContent>
                  <w:p w14:paraId="3FB58811">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B40E8">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F1D197">
                          <w:pPr>
                            <w:pStyle w:val="10"/>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w:t>
                          </w:r>
                          <w:r>
                            <w:rPr>
                              <w:rFonts w:hint="eastAsia" w:eastAsiaTheme="minor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7EF1D197">
                    <w:pPr>
                      <w:pStyle w:val="10"/>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w:t>
                    </w:r>
                    <w:r>
                      <w:rPr>
                        <w:rFonts w:hint="eastAsia" w:eastAsiaTheme="minor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AC511">
    <w:pPr>
      <w:pStyle w:val="1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669B02">
                          <w:pPr>
                            <w:pStyle w:val="10"/>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20</w:t>
                          </w:r>
                          <w:r>
                            <w:rPr>
                              <w:rFonts w:hint="eastAsia" w:eastAsiaTheme="minor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10669B02">
                    <w:pPr>
                      <w:pStyle w:val="10"/>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20</w:t>
                    </w:r>
                    <w:r>
                      <w:rPr>
                        <w:rFonts w:hint="eastAsia" w:eastAsiaTheme="minor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722F1">
    <w:pPr>
      <w:pStyle w:val="11"/>
      <w:tabs>
        <w:tab w:val="left" w:pos="323"/>
      </w:tabs>
      <w:jc w:val="right"/>
      <w:rPr>
        <w:rFonts w:hint="eastAsia" w:asciiTheme="minorEastAsia" w:hAnsiTheme="minorEastAsia" w:eastAsiaTheme="minorEastAsia"/>
        <w:b/>
        <w:lang w:eastAsia="zh-CN"/>
      </w:rPr>
    </w:pPr>
    <w:r>
      <w:drawing>
        <wp:anchor distT="0" distB="0" distL="114300" distR="114300" simplePos="0" relativeHeight="251660288" behindDoc="0" locked="0" layoutInCell="1" allowOverlap="1">
          <wp:simplePos x="0" y="0"/>
          <wp:positionH relativeFrom="column">
            <wp:posOffset>20955</wp:posOffset>
          </wp:positionH>
          <wp:positionV relativeFrom="paragraph">
            <wp:posOffset>-69850</wp:posOffset>
          </wp:positionV>
          <wp:extent cx="1701800" cy="202565"/>
          <wp:effectExtent l="0" t="0" r="12700" b="6985"/>
          <wp:wrapNone/>
          <wp:docPr id="5"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tab/>
    </w:r>
    <w:r>
      <w:tab/>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PLHR-ZB-FW-20200</w:t>
    </w:r>
    <w:r>
      <w:rPr>
        <w:rFonts w:hint="eastAsia" w:asciiTheme="minorEastAsia" w:hAnsiTheme="minorEastAsia" w:eastAsiaTheme="minorEastAsia"/>
        <w:b/>
        <w:sz w:val="20"/>
        <w:lang w:val="en-US" w:eastAsia="zh-CN"/>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43719">
    <w:pPr>
      <w:pStyle w:val="11"/>
      <w:jc w:val="right"/>
      <w:rPr>
        <w:rFonts w:hint="default" w:ascii="宋体" w:hAnsi="宋体" w:eastAsia="宋体" w:cs="宋体"/>
        <w:b/>
        <w:bCs/>
        <w:sz w:val="21"/>
        <w:szCs w:val="21"/>
        <w:lang w:val="en-US" w:eastAsia="zh-CN"/>
      </w:rPr>
    </w:pPr>
    <w:r>
      <w:drawing>
        <wp:anchor distT="0" distB="0" distL="114300" distR="114300" simplePos="0" relativeHeight="251659264" behindDoc="0" locked="0" layoutInCell="1" allowOverlap="1">
          <wp:simplePos x="0" y="0"/>
          <wp:positionH relativeFrom="column">
            <wp:posOffset>-46355</wp:posOffset>
          </wp:positionH>
          <wp:positionV relativeFrom="paragraph">
            <wp:posOffset>-95250</wp:posOffset>
          </wp:positionV>
          <wp:extent cx="1704975" cy="200025"/>
          <wp:effectExtent l="0" t="0" r="9525" b="9525"/>
          <wp:wrapNone/>
          <wp:docPr id="2"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4975" cy="200025"/>
                  </a:xfrm>
                  <a:prstGeom prst="rect">
                    <a:avLst/>
                  </a:prstGeom>
                  <a:noFill/>
                  <a:ln>
                    <a:noFill/>
                  </a:ln>
                </pic:spPr>
              </pic:pic>
            </a:graphicData>
          </a:graphic>
        </wp:anchor>
      </w:drawing>
    </w:r>
    <w:r>
      <w:rPr>
        <w:rFonts w:hint="eastAsia"/>
      </w:rPr>
      <w:t xml:space="preserve">                                                                  </w:t>
    </w:r>
    <w:r>
      <w:rPr>
        <w:rFonts w:hint="eastAsia" w:ascii="宋体" w:hAnsi="宋体" w:cs="宋体"/>
        <w:b/>
        <w:bCs/>
        <w:lang w:val="en-US" w:eastAsia="zh-CN"/>
      </w:rPr>
      <w:t>PLHR-ZB-FW-20250601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C6FA2">
    <w:pPr>
      <w:pStyle w:val="11"/>
      <w:tabs>
        <w:tab w:val="left" w:pos="323"/>
      </w:tabs>
      <w:jc w:val="right"/>
      <w:rPr>
        <w:rFonts w:hint="eastAsia" w:asciiTheme="minorEastAsia" w:hAnsiTheme="minorEastAsia" w:eastAsiaTheme="minorEastAsia"/>
        <w:b/>
        <w:sz w:val="20"/>
        <w:lang w:val="en-US" w:eastAsia="zh-CN"/>
      </w:rPr>
    </w:pPr>
    <w:r>
      <w:drawing>
        <wp:anchor distT="0" distB="0" distL="114300" distR="114300" simplePos="0" relativeHeight="251660288" behindDoc="0" locked="0" layoutInCell="1" allowOverlap="1">
          <wp:simplePos x="0" y="0"/>
          <wp:positionH relativeFrom="column">
            <wp:posOffset>20955</wp:posOffset>
          </wp:positionH>
          <wp:positionV relativeFrom="paragraph">
            <wp:posOffset>-69850</wp:posOffset>
          </wp:positionV>
          <wp:extent cx="1701800" cy="202565"/>
          <wp:effectExtent l="0" t="0" r="12700" b="6985"/>
          <wp:wrapNone/>
          <wp:docPr id="1"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tab/>
    </w:r>
    <w:r>
      <w:tab/>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lang w:eastAsia="zh-CN"/>
      </w:rPr>
      <w:t>PLHR-ZB-FW-20250601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3972A">
    <w:pPr>
      <w:pStyle w:val="11"/>
      <w:tabs>
        <w:tab w:val="left" w:pos="323"/>
      </w:tabs>
      <w:jc w:val="right"/>
      <w:rPr>
        <w:rFonts w:hint="eastAsia" w:asciiTheme="minorEastAsia" w:hAnsiTheme="minorEastAsia" w:eastAsiaTheme="minorEastAsia"/>
        <w:b/>
        <w:lang w:val="en-US" w:eastAsia="zh-CN"/>
      </w:rPr>
    </w:pPr>
    <w:r>
      <w:rPr>
        <w:rFonts w:ascii="宋体" w:hAnsi="宋体"/>
      </w:rPr>
      <w:drawing>
        <wp:anchor distT="0" distB="0" distL="114300" distR="114300" simplePos="0" relativeHeight="251663360" behindDoc="0" locked="0" layoutInCell="1" allowOverlap="1">
          <wp:simplePos x="0" y="0"/>
          <wp:positionH relativeFrom="column">
            <wp:posOffset>52070</wp:posOffset>
          </wp:positionH>
          <wp:positionV relativeFrom="paragraph">
            <wp:posOffset>-121285</wp:posOffset>
          </wp:positionV>
          <wp:extent cx="1701800" cy="202565"/>
          <wp:effectExtent l="19050" t="0" r="0" b="0"/>
          <wp:wrapNone/>
          <wp:docPr id="3"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rPr>
        <w:rFonts w:hint="eastAsia" w:ascii="宋体" w:hAnsi="宋体"/>
      </w:rPr>
      <w:t xml:space="preserve">                                                                      </w:t>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lang w:eastAsia="zh-CN"/>
      </w:rPr>
      <w:t>PLHR-ZB-FW-2025060101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130FE"/>
    <w:multiLevelType w:val="singleLevel"/>
    <w:tmpl w:val="846130FE"/>
    <w:lvl w:ilvl="0" w:tentative="0">
      <w:start w:val="1"/>
      <w:numFmt w:val="decimal"/>
      <w:suff w:val="nothing"/>
      <w:lvlText w:val="%1."/>
      <w:lvlJc w:val="left"/>
      <w:pPr>
        <w:ind w:left="425" w:hanging="425"/>
      </w:pPr>
      <w:rPr>
        <w:rFonts w:hint="default"/>
      </w:rPr>
    </w:lvl>
  </w:abstractNum>
  <w:abstractNum w:abstractNumId="1">
    <w:nsid w:val="864B08D5"/>
    <w:multiLevelType w:val="singleLevel"/>
    <w:tmpl w:val="864B08D5"/>
    <w:lvl w:ilvl="0" w:tentative="0">
      <w:start w:val="2"/>
      <w:numFmt w:val="chineseCounting"/>
      <w:suff w:val="nothing"/>
      <w:lvlText w:val="（%1）"/>
      <w:lvlJc w:val="left"/>
      <w:pPr>
        <w:tabs>
          <w:tab w:val="left" w:pos="0"/>
        </w:tabs>
      </w:pPr>
      <w:rPr>
        <w:rFonts w:hint="eastAsia" w:ascii="楷体_GB2312" w:hAnsi="楷体_GB2312" w:eastAsia="楷体_GB2312" w:cs="楷体_GB2312"/>
        <w:sz w:val="32"/>
        <w:szCs w:val="32"/>
      </w:rPr>
    </w:lvl>
  </w:abstractNum>
  <w:abstractNum w:abstractNumId="2">
    <w:nsid w:val="8D08277C"/>
    <w:multiLevelType w:val="singleLevel"/>
    <w:tmpl w:val="8D08277C"/>
    <w:lvl w:ilvl="0" w:tentative="0">
      <w:start w:val="1"/>
      <w:numFmt w:val="decimal"/>
      <w:suff w:val="nothing"/>
      <w:lvlText w:val="（%1）"/>
      <w:lvlJc w:val="left"/>
      <w:pPr>
        <w:ind w:left="425" w:leftChars="0" w:hanging="425" w:firstLineChars="0"/>
      </w:pPr>
      <w:rPr>
        <w:rFonts w:hint="default"/>
        <w:sz w:val="32"/>
        <w:szCs w:val="32"/>
      </w:rPr>
    </w:lvl>
  </w:abstractNum>
  <w:abstractNum w:abstractNumId="3">
    <w:nsid w:val="A2A99962"/>
    <w:multiLevelType w:val="singleLevel"/>
    <w:tmpl w:val="A2A99962"/>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4">
    <w:nsid w:val="AF170863"/>
    <w:multiLevelType w:val="singleLevel"/>
    <w:tmpl w:val="AF170863"/>
    <w:lvl w:ilvl="0" w:tentative="0">
      <w:start w:val="1"/>
      <w:numFmt w:val="chineseCounting"/>
      <w:suff w:val="nothing"/>
      <w:lvlText w:val="%1、"/>
      <w:lvlJc w:val="left"/>
      <w:pPr>
        <w:ind w:left="0" w:firstLine="420"/>
      </w:pPr>
      <w:rPr>
        <w:rFonts w:hint="eastAsia" w:ascii="仿宋" w:hAnsi="仿宋" w:eastAsia="仿宋" w:cs="仿宋"/>
        <w:sz w:val="24"/>
        <w:szCs w:val="24"/>
      </w:rPr>
    </w:lvl>
  </w:abstractNum>
  <w:abstractNum w:abstractNumId="5">
    <w:nsid w:val="B09103A6"/>
    <w:multiLevelType w:val="singleLevel"/>
    <w:tmpl w:val="B09103A6"/>
    <w:lvl w:ilvl="0" w:tentative="0">
      <w:start w:val="1"/>
      <w:numFmt w:val="decimal"/>
      <w:suff w:val="nothing"/>
      <w:lvlText w:val="%1."/>
      <w:lvlJc w:val="left"/>
      <w:rPr>
        <w:rFonts w:hint="default" w:ascii="仿宋" w:hAnsi="仿宋" w:eastAsia="仿宋" w:cs="仿宋"/>
        <w:sz w:val="21"/>
        <w:szCs w:val="21"/>
      </w:rPr>
    </w:lvl>
  </w:abstractNum>
  <w:abstractNum w:abstractNumId="6">
    <w:nsid w:val="CF2CB815"/>
    <w:multiLevelType w:val="singleLevel"/>
    <w:tmpl w:val="CF2CB815"/>
    <w:lvl w:ilvl="0" w:tentative="0">
      <w:start w:val="1"/>
      <w:numFmt w:val="decimal"/>
      <w:suff w:val="nothing"/>
      <w:lvlText w:val="%1."/>
      <w:lvlJc w:val="left"/>
    </w:lvl>
  </w:abstractNum>
  <w:abstractNum w:abstractNumId="7">
    <w:nsid w:val="DAA79E7F"/>
    <w:multiLevelType w:val="singleLevel"/>
    <w:tmpl w:val="DAA79E7F"/>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8">
    <w:nsid w:val="2178CB1F"/>
    <w:multiLevelType w:val="singleLevel"/>
    <w:tmpl w:val="2178CB1F"/>
    <w:lvl w:ilvl="0" w:tentative="0">
      <w:start w:val="1"/>
      <w:numFmt w:val="decimal"/>
      <w:suff w:val="nothing"/>
      <w:lvlText w:val="%1."/>
      <w:lvlJc w:val="left"/>
    </w:lvl>
  </w:abstractNum>
  <w:abstractNum w:abstractNumId="9">
    <w:nsid w:val="3F365E95"/>
    <w:multiLevelType w:val="singleLevel"/>
    <w:tmpl w:val="3F365E95"/>
    <w:lvl w:ilvl="0" w:tentative="0">
      <w:start w:val="1"/>
      <w:numFmt w:val="decimal"/>
      <w:suff w:val="nothing"/>
      <w:lvlText w:val="%1."/>
      <w:lvlJc w:val="left"/>
      <w:pPr>
        <w:ind w:left="425" w:hanging="425"/>
      </w:pPr>
      <w:rPr>
        <w:rFonts w:hint="default" w:ascii="仿宋_GB2312" w:hAnsi="仿宋_GB2312" w:eastAsia="仿宋_GB2312" w:cs="仿宋_GB2312"/>
        <w:sz w:val="32"/>
        <w:szCs w:val="32"/>
      </w:rPr>
    </w:lvl>
  </w:abstractNum>
  <w:abstractNum w:abstractNumId="10">
    <w:nsid w:val="658CD543"/>
    <w:multiLevelType w:val="singleLevel"/>
    <w:tmpl w:val="658CD543"/>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11">
    <w:nsid w:val="66A5F703"/>
    <w:multiLevelType w:val="singleLevel"/>
    <w:tmpl w:val="66A5F703"/>
    <w:lvl w:ilvl="0" w:tentative="0">
      <w:start w:val="1"/>
      <w:numFmt w:val="chineseCounting"/>
      <w:suff w:val="nothing"/>
      <w:lvlText w:val="%1、"/>
      <w:lvlJc w:val="left"/>
      <w:rPr>
        <w:rFonts w:hint="eastAsia" w:ascii="黑体" w:hAnsi="黑体" w:eastAsia="黑体" w:cs="黑体"/>
        <w:sz w:val="32"/>
        <w:szCs w:val="32"/>
      </w:rPr>
    </w:lvl>
  </w:abstractNum>
  <w:abstractNum w:abstractNumId="12">
    <w:nsid w:val="6DC44AC2"/>
    <w:multiLevelType w:val="singleLevel"/>
    <w:tmpl w:val="6DC44AC2"/>
    <w:lvl w:ilvl="0" w:tentative="0">
      <w:start w:val="1"/>
      <w:numFmt w:val="decimal"/>
      <w:suff w:val="nothing"/>
      <w:lvlText w:val="%1."/>
      <w:lvlJc w:val="left"/>
      <w:pPr>
        <w:ind w:left="425" w:hanging="425"/>
      </w:pPr>
      <w:rPr>
        <w:rFonts w:hint="default" w:ascii="仿宋_GB2312" w:hAnsi="仿宋_GB2312" w:eastAsia="仿宋_GB2312" w:cs="仿宋_GB2312"/>
        <w:sz w:val="32"/>
        <w:szCs w:val="32"/>
      </w:rPr>
    </w:lvl>
  </w:abstractNum>
  <w:abstractNum w:abstractNumId="13">
    <w:nsid w:val="77EE52DE"/>
    <w:multiLevelType w:val="singleLevel"/>
    <w:tmpl w:val="77EE52DE"/>
    <w:lvl w:ilvl="0" w:tentative="0">
      <w:start w:val="1"/>
      <w:numFmt w:val="decimal"/>
      <w:suff w:val="nothing"/>
      <w:lvlText w:val="%1."/>
      <w:lvlJc w:val="left"/>
      <w:pPr>
        <w:ind w:left="425" w:hanging="425"/>
      </w:pPr>
      <w:rPr>
        <w:rFonts w:hint="default" w:ascii="仿宋_GB2312" w:hAnsi="仿宋_GB2312" w:eastAsia="仿宋_GB2312" w:cs="仿宋_GB2312"/>
        <w:sz w:val="32"/>
        <w:szCs w:val="32"/>
      </w:rPr>
    </w:lvl>
  </w:abstractNum>
  <w:num w:numId="1">
    <w:abstractNumId w:val="11"/>
  </w:num>
  <w:num w:numId="2">
    <w:abstractNumId w:val="5"/>
  </w:num>
  <w:num w:numId="3">
    <w:abstractNumId w:val="1"/>
  </w:num>
  <w:num w:numId="4">
    <w:abstractNumId w:val="10"/>
  </w:num>
  <w:num w:numId="5">
    <w:abstractNumId w:val="3"/>
  </w:num>
  <w:num w:numId="6">
    <w:abstractNumId w:val="9"/>
  </w:num>
  <w:num w:numId="7">
    <w:abstractNumId w:val="0"/>
  </w:num>
  <w:num w:numId="8">
    <w:abstractNumId w:val="6"/>
  </w:num>
  <w:num w:numId="9">
    <w:abstractNumId w:val="8"/>
  </w:num>
  <w:num w:numId="10">
    <w:abstractNumId w:val="13"/>
  </w:num>
  <w:num w:numId="11">
    <w:abstractNumId w:val="12"/>
  </w:num>
  <w:num w:numId="12">
    <w:abstractNumId w:val="2"/>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M2FhMDM0M2U5OGQ2ODA4NWZmYmM5MzU0ZjJmNjMifQ=="/>
  </w:docVars>
  <w:rsids>
    <w:rsidRoot w:val="54D5111E"/>
    <w:rsid w:val="004F4E3B"/>
    <w:rsid w:val="00596DC2"/>
    <w:rsid w:val="00780429"/>
    <w:rsid w:val="007A3BED"/>
    <w:rsid w:val="00B61DCC"/>
    <w:rsid w:val="013E6387"/>
    <w:rsid w:val="01BE2D3A"/>
    <w:rsid w:val="02796667"/>
    <w:rsid w:val="02796C38"/>
    <w:rsid w:val="043064BE"/>
    <w:rsid w:val="044F0706"/>
    <w:rsid w:val="0482241C"/>
    <w:rsid w:val="05B42F17"/>
    <w:rsid w:val="062D1159"/>
    <w:rsid w:val="064E72CB"/>
    <w:rsid w:val="08743E10"/>
    <w:rsid w:val="0966500F"/>
    <w:rsid w:val="0A1D4DDB"/>
    <w:rsid w:val="0AA43652"/>
    <w:rsid w:val="0B071D3B"/>
    <w:rsid w:val="0B230CC9"/>
    <w:rsid w:val="0B2C3E39"/>
    <w:rsid w:val="0B574C3D"/>
    <w:rsid w:val="0BD87910"/>
    <w:rsid w:val="0BF56037"/>
    <w:rsid w:val="0C1817EE"/>
    <w:rsid w:val="0CD53EF2"/>
    <w:rsid w:val="0E33493E"/>
    <w:rsid w:val="0EA224A6"/>
    <w:rsid w:val="0EF46860"/>
    <w:rsid w:val="129B3361"/>
    <w:rsid w:val="14ED1B84"/>
    <w:rsid w:val="15004E24"/>
    <w:rsid w:val="168C6693"/>
    <w:rsid w:val="18695096"/>
    <w:rsid w:val="19FC062E"/>
    <w:rsid w:val="1BA35871"/>
    <w:rsid w:val="1F3A1D86"/>
    <w:rsid w:val="1F685A8C"/>
    <w:rsid w:val="1F8B28FD"/>
    <w:rsid w:val="21533FA5"/>
    <w:rsid w:val="216806DC"/>
    <w:rsid w:val="217369AA"/>
    <w:rsid w:val="2239141C"/>
    <w:rsid w:val="24E57241"/>
    <w:rsid w:val="25933990"/>
    <w:rsid w:val="26FB67A0"/>
    <w:rsid w:val="275A6547"/>
    <w:rsid w:val="27D1591C"/>
    <w:rsid w:val="28037CAD"/>
    <w:rsid w:val="296D37AE"/>
    <w:rsid w:val="2AC360BC"/>
    <w:rsid w:val="2AFB1659"/>
    <w:rsid w:val="2B4B1A6A"/>
    <w:rsid w:val="2C8C2CFD"/>
    <w:rsid w:val="2CBD7E51"/>
    <w:rsid w:val="2CEA52EC"/>
    <w:rsid w:val="2E294A91"/>
    <w:rsid w:val="331F4BF5"/>
    <w:rsid w:val="33BE59CB"/>
    <w:rsid w:val="33C55700"/>
    <w:rsid w:val="34CA4168"/>
    <w:rsid w:val="376D5FE8"/>
    <w:rsid w:val="3982033E"/>
    <w:rsid w:val="3A793D27"/>
    <w:rsid w:val="3ADA6F7F"/>
    <w:rsid w:val="3ADD2D66"/>
    <w:rsid w:val="3B2253B3"/>
    <w:rsid w:val="3B885799"/>
    <w:rsid w:val="3C2D1CCA"/>
    <w:rsid w:val="3E093008"/>
    <w:rsid w:val="3EAA6D4C"/>
    <w:rsid w:val="3F993ED1"/>
    <w:rsid w:val="41F4042C"/>
    <w:rsid w:val="4315253F"/>
    <w:rsid w:val="44F83D3F"/>
    <w:rsid w:val="45004A76"/>
    <w:rsid w:val="45BB0389"/>
    <w:rsid w:val="45C93A36"/>
    <w:rsid w:val="4A0C76A8"/>
    <w:rsid w:val="4CEC3B57"/>
    <w:rsid w:val="4D8B3615"/>
    <w:rsid w:val="549C36B3"/>
    <w:rsid w:val="54D5111E"/>
    <w:rsid w:val="559E7982"/>
    <w:rsid w:val="57E570B8"/>
    <w:rsid w:val="5852060C"/>
    <w:rsid w:val="58E66C0D"/>
    <w:rsid w:val="5C6869A5"/>
    <w:rsid w:val="5CF72754"/>
    <w:rsid w:val="5E1614EB"/>
    <w:rsid w:val="5E746CF5"/>
    <w:rsid w:val="5EB33D53"/>
    <w:rsid w:val="5FC84046"/>
    <w:rsid w:val="60B06CD0"/>
    <w:rsid w:val="61827A74"/>
    <w:rsid w:val="626F619A"/>
    <w:rsid w:val="63A212F2"/>
    <w:rsid w:val="64F007CB"/>
    <w:rsid w:val="651B2134"/>
    <w:rsid w:val="65F21201"/>
    <w:rsid w:val="662A1B70"/>
    <w:rsid w:val="672F4C7D"/>
    <w:rsid w:val="686B28E3"/>
    <w:rsid w:val="69804A02"/>
    <w:rsid w:val="6A146F17"/>
    <w:rsid w:val="6B543B20"/>
    <w:rsid w:val="6D07335C"/>
    <w:rsid w:val="6E5102B2"/>
    <w:rsid w:val="6FCB4BA5"/>
    <w:rsid w:val="70511590"/>
    <w:rsid w:val="70CE364A"/>
    <w:rsid w:val="72EE4600"/>
    <w:rsid w:val="74F03968"/>
    <w:rsid w:val="752F291E"/>
    <w:rsid w:val="76F03300"/>
    <w:rsid w:val="77281D83"/>
    <w:rsid w:val="7772105E"/>
    <w:rsid w:val="7C2707B8"/>
    <w:rsid w:val="7E1F3218"/>
    <w:rsid w:val="7E5C4446"/>
    <w:rsid w:val="7F1B7E56"/>
    <w:rsid w:val="7FBF4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9"/>
    <w:pPr>
      <w:keepNext/>
      <w:keepLines/>
      <w:spacing w:before="260" w:after="260"/>
      <w:ind w:firstLine="200" w:firstLineChars="200"/>
      <w:outlineLvl w:val="2"/>
    </w:pPr>
    <w:rPr>
      <w:rFonts w:ascii="宋体" w:hAnsi="Times New Roman" w:eastAsia="宋体" w:cs="Times New Roman"/>
      <w:b/>
      <w:bCs/>
      <w:kern w:val="0"/>
      <w:sz w:val="28"/>
      <w:szCs w:val="3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pPr>
      <w:spacing w:after="120"/>
    </w:pPr>
  </w:style>
  <w:style w:type="paragraph" w:styleId="7">
    <w:name w:val="toc 3"/>
    <w:basedOn w:val="1"/>
    <w:next w:val="1"/>
    <w:qFormat/>
    <w:uiPriority w:val="39"/>
    <w:pPr>
      <w:ind w:left="840" w:leftChars="400"/>
    </w:pPr>
  </w:style>
  <w:style w:type="paragraph" w:styleId="8">
    <w:name w:val="Plain Text"/>
    <w:basedOn w:val="1"/>
    <w:qFormat/>
    <w:uiPriority w:val="0"/>
    <w:pPr>
      <w:spacing w:line="400" w:lineRule="exact"/>
      <w:ind w:firstLine="200" w:firstLineChars="200"/>
      <w:contextualSpacing/>
    </w:pPr>
    <w:rPr>
      <w:rFonts w:ascii="宋体" w:hAnsi="Courier New" w:eastAsia="宋体" w:cs="Times New Roman"/>
      <w:kern w:val="0"/>
      <w:sz w:val="24"/>
      <w:szCs w:val="20"/>
    </w:rPr>
  </w:style>
  <w:style w:type="paragraph" w:styleId="9">
    <w:name w:val="Balloon Text"/>
    <w:basedOn w:val="1"/>
    <w:link w:val="29"/>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12">
    <w:name w:val="toc 1"/>
    <w:basedOn w:val="1"/>
    <w:next w:val="1"/>
    <w:qFormat/>
    <w:uiPriority w:val="39"/>
    <w:pPr>
      <w:tabs>
        <w:tab w:val="right" w:leader="dot" w:pos="8295"/>
      </w:tabs>
      <w:spacing w:before="120" w:after="120" w:line="360" w:lineRule="auto"/>
      <w:ind w:firstLine="207" w:firstLineChars="98"/>
      <w:jc w:val="left"/>
    </w:pPr>
    <w:rPr>
      <w:rFonts w:ascii="宋体" w:hAnsi="宋体" w:eastAsia="宋体" w:cs="Times New Roman"/>
      <w:b/>
      <w:bCs/>
      <w:caps/>
      <w:kern w:val="0"/>
      <w:szCs w:val="21"/>
    </w:rPr>
  </w:style>
  <w:style w:type="paragraph" w:styleId="13">
    <w:name w:val="Subtitle"/>
    <w:basedOn w:val="1"/>
    <w:next w:val="1"/>
    <w:qFormat/>
    <w:uiPriority w:val="0"/>
    <w:pPr>
      <w:spacing w:before="240" w:after="60" w:line="312" w:lineRule="auto"/>
      <w:ind w:firstLine="360" w:firstLineChars="360"/>
      <w:jc w:val="center"/>
      <w:outlineLvl w:val="1"/>
    </w:pPr>
    <w:rPr>
      <w:rFonts w:ascii="Cambria" w:hAnsi="Cambria" w:eastAsia="宋体" w:cs="Times New Roman"/>
      <w:b/>
      <w:bCs/>
      <w:kern w:val="28"/>
      <w:sz w:val="32"/>
      <w:szCs w:val="32"/>
    </w:rPr>
  </w:style>
  <w:style w:type="paragraph" w:styleId="14">
    <w:name w:val="toc 2"/>
    <w:basedOn w:val="1"/>
    <w:next w:val="1"/>
    <w:qFormat/>
    <w:uiPriority w:val="39"/>
    <w:pPr>
      <w:tabs>
        <w:tab w:val="right" w:leader="dot" w:pos="8295"/>
      </w:tabs>
      <w:spacing w:line="360" w:lineRule="auto"/>
      <w:ind w:left="210"/>
      <w:jc w:val="left"/>
    </w:pPr>
    <w:rPr>
      <w:rFonts w:ascii="宋体" w:hAnsi="宋体" w:eastAsia="宋体" w:cs="Times New Roman"/>
      <w:b/>
      <w:smallCaps/>
      <w:szCs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qFormat/>
    <w:uiPriority w:val="0"/>
    <w:rPr>
      <w:color w:val="0000FF"/>
      <w:u w:val="single"/>
    </w:rPr>
  </w:style>
  <w:style w:type="paragraph" w:styleId="19">
    <w:name w:val="List Paragraph"/>
    <w:basedOn w:val="1"/>
    <w:qFormat/>
    <w:uiPriority w:val="0"/>
    <w:pPr>
      <w:ind w:firstLine="420" w:firstLineChars="200"/>
    </w:pPr>
    <w:rPr>
      <w:rFonts w:ascii="Calibri" w:hAnsi="Calibri" w:eastAsia="宋体" w:cs="Times New Roman"/>
      <w:kern w:val="0"/>
      <w:sz w:val="20"/>
      <w:szCs w:val="20"/>
    </w:rPr>
  </w:style>
  <w:style w:type="character" w:customStyle="1" w:styleId="20">
    <w:name w:val="标题1"/>
    <w:qFormat/>
    <w:uiPriority w:val="0"/>
  </w:style>
  <w:style w:type="paragraph" w:customStyle="1" w:styleId="21">
    <w:name w:val="1"/>
    <w:basedOn w:val="1"/>
    <w:qFormat/>
    <w:uiPriority w:val="0"/>
    <w:pPr>
      <w:spacing w:beforeLines="50" w:afterLines="50"/>
    </w:pPr>
    <w:rPr>
      <w:rFonts w:ascii="微软雅黑" w:hAnsi="微软雅黑" w:eastAsia="微软雅黑"/>
      <w:b/>
      <w:sz w:val="18"/>
      <w:szCs w:val="18"/>
    </w:rPr>
  </w:style>
  <w:style w:type="paragraph" w:customStyle="1" w:styleId="22">
    <w:name w:val="Default Text"/>
    <w:basedOn w:val="1"/>
    <w:qFormat/>
    <w:uiPriority w:val="0"/>
    <w:pPr>
      <w:autoSpaceDE w:val="0"/>
      <w:autoSpaceDN w:val="0"/>
      <w:adjustRightInd w:val="0"/>
      <w:jc w:val="left"/>
    </w:pPr>
    <w:rPr>
      <w:kern w:val="0"/>
      <w:sz w:val="24"/>
      <w:szCs w:val="24"/>
    </w:rPr>
  </w:style>
  <w:style w:type="character" w:customStyle="1" w:styleId="23">
    <w:name w:val="font21"/>
    <w:basedOn w:val="17"/>
    <w:qFormat/>
    <w:uiPriority w:val="0"/>
    <w:rPr>
      <w:rFonts w:hint="default" w:ascii="Arial" w:hAnsi="Arial" w:cs="Arial"/>
      <w:color w:val="000000"/>
      <w:sz w:val="18"/>
      <w:szCs w:val="18"/>
      <w:u w:val="none"/>
    </w:rPr>
  </w:style>
  <w:style w:type="character" w:customStyle="1" w:styleId="24">
    <w:name w:val="font41"/>
    <w:basedOn w:val="17"/>
    <w:qFormat/>
    <w:uiPriority w:val="0"/>
    <w:rPr>
      <w:rFonts w:hint="eastAsia" w:ascii="宋体" w:hAnsi="宋体" w:eastAsia="宋体" w:cs="宋体"/>
      <w:color w:val="000000"/>
      <w:sz w:val="18"/>
      <w:szCs w:val="18"/>
      <w:u w:val="none"/>
    </w:rPr>
  </w:style>
  <w:style w:type="character" w:customStyle="1" w:styleId="25">
    <w:name w:val="font11"/>
    <w:basedOn w:val="17"/>
    <w:qFormat/>
    <w:uiPriority w:val="0"/>
    <w:rPr>
      <w:rFonts w:ascii="Arial" w:hAnsi="Arial" w:cs="Arial"/>
      <w:color w:val="000000"/>
      <w:sz w:val="18"/>
      <w:szCs w:val="18"/>
      <w:u w:val="none"/>
    </w:rPr>
  </w:style>
  <w:style w:type="character" w:customStyle="1" w:styleId="26">
    <w:name w:val="font31"/>
    <w:basedOn w:val="17"/>
    <w:qFormat/>
    <w:uiPriority w:val="0"/>
    <w:rPr>
      <w:rFonts w:hint="eastAsia" w:ascii="宋体" w:hAnsi="宋体" w:eastAsia="宋体" w:cs="宋体"/>
      <w:color w:val="000000"/>
      <w:sz w:val="18"/>
      <w:szCs w:val="18"/>
      <w:u w:val="none"/>
    </w:rPr>
  </w:style>
  <w:style w:type="character" w:customStyle="1" w:styleId="27">
    <w:name w:val="font51"/>
    <w:basedOn w:val="17"/>
    <w:qFormat/>
    <w:uiPriority w:val="0"/>
    <w:rPr>
      <w:rFonts w:hint="default" w:ascii="Times New Roman" w:hAnsi="Times New Roman" w:cs="Times New Roman"/>
      <w:color w:val="000000"/>
      <w:sz w:val="20"/>
      <w:szCs w:val="20"/>
      <w:u w:val="none"/>
    </w:rPr>
  </w:style>
  <w:style w:type="character" w:customStyle="1" w:styleId="28">
    <w:name w:val="font01"/>
    <w:basedOn w:val="17"/>
    <w:qFormat/>
    <w:uiPriority w:val="0"/>
    <w:rPr>
      <w:rFonts w:hint="eastAsia" w:ascii="宋体" w:hAnsi="宋体" w:eastAsia="宋体" w:cs="宋体"/>
      <w:color w:val="000000"/>
      <w:sz w:val="20"/>
      <w:szCs w:val="20"/>
      <w:u w:val="none"/>
    </w:rPr>
  </w:style>
  <w:style w:type="character" w:customStyle="1" w:styleId="29">
    <w:name w:val="批注框文本 Char"/>
    <w:basedOn w:val="17"/>
    <w:link w:val="9"/>
    <w:qFormat/>
    <w:uiPriority w:val="0"/>
    <w:rPr>
      <w:rFonts w:asciiTheme="minorHAnsi" w:hAnsiTheme="minorHAnsi" w:eastAsiaTheme="minorEastAsia" w:cstheme="minorBidi"/>
      <w:kern w:val="2"/>
      <w:sz w:val="18"/>
      <w:szCs w:val="18"/>
    </w:rPr>
  </w:style>
  <w:style w:type="paragraph" w:customStyle="1" w:styleId="30">
    <w:name w:val="列出段落1"/>
    <w:basedOn w:val="1"/>
    <w:qFormat/>
    <w:uiPriority w:val="0"/>
    <w:pPr>
      <w:spacing w:beforeLines="50" w:after="156" w:line="240" w:lineRule="atLeast"/>
      <w:ind w:left="425"/>
    </w:pPr>
    <w:rPr>
      <w:rFonts w:eastAsia="仿宋_GB2312"/>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5765</Words>
  <Characters>6187</Characters>
  <Lines>180</Lines>
  <Paragraphs>50</Paragraphs>
  <TotalTime>12</TotalTime>
  <ScaleCrop>false</ScaleCrop>
  <LinksUpToDate>false</LinksUpToDate>
  <CharactersWithSpaces>6278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2020-08-03T01:21:00Z</dcterms:created>
  <dc:creator>运营部-陈宁</dc:creator>
  <cp:lastModifiedBy>运营部-xj</cp:lastModifiedBy>
  <cp:lastPrinted>2025-08-12T01:13:00Z</cp:lastPrinted>
  <dcterms:modified xsi:type="dcterms:W3CDTF">2025-08-21T06:25:13Z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03B494DA84C14FBA9D363D29B608FABC_13</vt:lpwstr>
  </property>
  <property fmtid="{D5CDD505-2E9C-101B-9397-08002B2CF9AE}" pid="4" name="KSOTemplateDocerSaveRecord">
    <vt:lpwstr>eyJoZGlkIjoiNDgxM2FhMDM0M2U5OGQ2ODA4NWZmYmM5MzU0ZjJmNjMiLCJ1c2VySWQiOiIyNDM2ODYzNCJ9</vt:lpwstr>
  </property>
</Properties>
</file>