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3102908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深圳市鹏劳人力资源管理有限公司</w:t>
      </w:r>
    </w:p>
    <w:p w14:paraId="6B4C5D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lang w:eastAsia="zh-CN"/>
        </w:rPr>
      </w:pPr>
      <w:r>
        <w:rPr>
          <w:rFonts w:hint="eastAsia" w:ascii="Times New Roman" w:hAnsi="Times New Roman" w:eastAsia="方正小标宋简体" w:cs="方正小标宋简体"/>
          <w:b w:val="0"/>
          <w:bCs/>
          <w:spacing w:val="-11"/>
          <w:sz w:val="52"/>
          <w:szCs w:val="52"/>
          <w:highlight w:val="none"/>
          <w:lang w:val="en-US" w:eastAsia="zh-CN"/>
        </w:rPr>
        <w:t>2025年度</w:t>
      </w:r>
      <w:r>
        <w:rPr>
          <w:rFonts w:hint="eastAsia" w:ascii="Times New Roman" w:hAnsi="Times New Roman" w:eastAsia="方正小标宋简体" w:cs="方正小标宋简体"/>
          <w:b w:val="0"/>
          <w:bCs/>
          <w:spacing w:val="-11"/>
          <w:sz w:val="52"/>
          <w:szCs w:val="52"/>
          <w:highlight w:val="none"/>
        </w:rPr>
        <w:t>员工</w:t>
      </w:r>
      <w:r>
        <w:rPr>
          <w:rFonts w:hint="eastAsia" w:ascii="Times New Roman" w:hAnsi="Times New Roman" w:eastAsia="方正小标宋简体" w:cs="方正小标宋简体"/>
          <w:b w:val="0"/>
          <w:bCs/>
          <w:spacing w:val="-11"/>
          <w:sz w:val="52"/>
          <w:szCs w:val="52"/>
          <w:highlight w:val="none"/>
          <w:lang w:val="en-US" w:eastAsia="zh-CN"/>
        </w:rPr>
        <w:t>健康</w:t>
      </w:r>
      <w:r>
        <w:rPr>
          <w:rFonts w:hint="eastAsia" w:ascii="Times New Roman" w:hAnsi="Times New Roman" w:eastAsia="方正小标宋简体" w:cs="方正小标宋简体"/>
          <w:b w:val="0"/>
          <w:bCs/>
          <w:spacing w:val="-11"/>
          <w:sz w:val="52"/>
          <w:szCs w:val="52"/>
          <w:highlight w:val="none"/>
        </w:rPr>
        <w:t>体检</w:t>
      </w:r>
      <w:r>
        <w:rPr>
          <w:rFonts w:hint="eastAsia" w:ascii="Times New Roman" w:hAnsi="Times New Roman" w:eastAsia="方正小标宋简体" w:cs="方正小标宋简体"/>
          <w:b w:val="0"/>
          <w:bCs/>
          <w:spacing w:val="-11"/>
          <w:sz w:val="52"/>
          <w:szCs w:val="52"/>
          <w:highlight w:val="none"/>
          <w:lang w:val="en-US" w:eastAsia="zh-CN"/>
        </w:rPr>
        <w:t>项目</w:t>
      </w:r>
    </w:p>
    <w:p w14:paraId="3FC317DE">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招标文件</w:t>
      </w:r>
    </w:p>
    <w:p w14:paraId="0750F7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采购类别</w:t>
      </w:r>
      <w:r>
        <w:rPr>
          <w:rFonts w:hint="eastAsia" w:ascii="Times New Roman" w:hAnsi="Times New Roman" w:eastAsia="方正小标宋简体" w:cs="方正小标宋简体"/>
          <w:b w:val="0"/>
          <w:bCs/>
          <w:sz w:val="40"/>
          <w:szCs w:val="40"/>
          <w:highlight w:val="none"/>
          <w:lang w:eastAsia="zh-CN"/>
        </w:rPr>
        <w:t>：</w:t>
      </w:r>
      <w:r>
        <w:rPr>
          <w:rFonts w:hint="eastAsia" w:ascii="Times New Roman" w:hAnsi="Times New Roman" w:eastAsia="方正小标宋简体" w:cs="方正小标宋简体"/>
          <w:b w:val="0"/>
          <w:bCs/>
          <w:sz w:val="40"/>
          <w:szCs w:val="40"/>
          <w:highlight w:val="none"/>
        </w:rPr>
        <w:t>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24"/>
          <w:szCs w:val="24"/>
          <w:highlight w:val="none"/>
          <w:lang w:val="en-US" w:eastAsia="zh-CN"/>
        </w:rPr>
      </w:pPr>
      <w:r>
        <w:rPr>
          <w:rFonts w:hint="eastAsia" w:ascii="Times New Roman" w:hAnsi="Times New Roman" w:eastAsia="方正小标宋简体" w:cs="方正小标宋简体"/>
          <w:b w:val="0"/>
          <w:bCs/>
          <w:sz w:val="40"/>
          <w:szCs w:val="40"/>
          <w:highlight w:val="none"/>
          <w:lang w:eastAsia="zh-CN"/>
        </w:rPr>
        <w:t>项目</w:t>
      </w:r>
      <w:r>
        <w:rPr>
          <w:rFonts w:hint="eastAsia" w:ascii="Times New Roman" w:hAnsi="Times New Roman" w:eastAsia="方正小标宋简体" w:cs="方正小标宋简体"/>
          <w:b w:val="0"/>
          <w:bCs/>
          <w:sz w:val="40"/>
          <w:szCs w:val="40"/>
          <w:highlight w:val="none"/>
        </w:rPr>
        <w:t>编号：</w:t>
      </w:r>
      <w:r>
        <w:rPr>
          <w:rFonts w:hint="eastAsia" w:ascii="Times New Roman" w:hAnsi="Times New Roman" w:eastAsia="方正小标宋简体" w:cs="方正小标宋简体"/>
          <w:b w:val="0"/>
          <w:bCs/>
          <w:sz w:val="40"/>
          <w:szCs w:val="40"/>
          <w:highlight w:val="none"/>
          <w:lang w:eastAsia="zh-CN"/>
        </w:rPr>
        <w:t>PLHR-ZB-FW-202506</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二〇二</w:t>
      </w:r>
      <w:r>
        <w:rPr>
          <w:rFonts w:hint="eastAsia" w:ascii="Times New Roman" w:hAnsi="Times New Roman" w:eastAsia="方正小标宋简体" w:cs="方正小标宋简体"/>
          <w:b w:val="0"/>
          <w:bCs/>
          <w:sz w:val="40"/>
          <w:szCs w:val="40"/>
          <w:highlight w:val="none"/>
          <w:lang w:val="en-US" w:eastAsia="zh-CN"/>
        </w:rPr>
        <w:t>五</w:t>
      </w:r>
      <w:r>
        <w:rPr>
          <w:rFonts w:hint="eastAsia" w:ascii="Times New Roman" w:hAnsi="Times New Roman" w:eastAsia="方正小标宋简体" w:cs="方正小标宋简体"/>
          <w:b w:val="0"/>
          <w:bCs/>
          <w:sz w:val="40"/>
          <w:szCs w:val="40"/>
          <w:highlight w:val="none"/>
        </w:rPr>
        <w:t>年</w:t>
      </w:r>
      <w:r>
        <w:rPr>
          <w:rFonts w:hint="eastAsia" w:ascii="Times New Roman" w:hAnsi="Times New Roman" w:eastAsia="方正小标宋简体" w:cs="方正小标宋简体"/>
          <w:b w:val="0"/>
          <w:bCs/>
          <w:sz w:val="40"/>
          <w:szCs w:val="40"/>
          <w:highlight w:val="none"/>
          <w:lang w:val="en-US" w:eastAsia="zh-CN"/>
        </w:rPr>
        <w:t>八</w:t>
      </w:r>
      <w:r>
        <w:rPr>
          <w:rFonts w:hint="eastAsia" w:ascii="Times New Roman" w:hAnsi="Times New Roman" w:eastAsia="方正小标宋简体" w:cs="方正小标宋简体"/>
          <w:b w:val="0"/>
          <w:bCs/>
          <w:sz w:val="40"/>
          <w:szCs w:val="40"/>
          <w:highlight w:val="none"/>
        </w:rPr>
        <w:t>月</w:t>
      </w:r>
    </w:p>
    <w:p w14:paraId="6199C32E">
      <w:pPr>
        <w:pStyle w:val="13"/>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val="0"/>
          <w:bCs/>
          <w:caps w:val="0"/>
          <w:smallCaps w:val="0"/>
          <w:kern w:val="28"/>
          <w:sz w:val="28"/>
          <w:szCs w:val="28"/>
          <w:highlight w:val="none"/>
        </w:rPr>
      </w:sdtEndPr>
      <w:sdtContent>
        <w:p w14:paraId="1C4D3452">
          <w:pPr>
            <w:jc w:val="center"/>
            <w:rPr>
              <w:b/>
              <w:bCs w:val="0"/>
              <w:highlight w:val="none"/>
            </w:rPr>
          </w:pPr>
        </w:p>
        <w:p w14:paraId="281049D0">
          <w:pPr>
            <w:pStyle w:val="12"/>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黑体" w:hAnsi="黑体" w:eastAsia="黑体" w:cs="黑体"/>
              <w:caps w:val="0"/>
              <w:smallCaps w:val="0"/>
            </w:rPr>
          </w:pPr>
          <w:r>
            <w:rPr>
              <w:rFonts w:hint="eastAsia" w:ascii="黑体" w:hAnsi="黑体" w:eastAsia="黑体" w:cs="黑体"/>
              <w:b w:val="0"/>
              <w:bCs/>
              <w:caps w:val="0"/>
              <w:smallCaps w:val="0"/>
              <w:sz w:val="28"/>
              <w:szCs w:val="28"/>
              <w:highlight w:val="none"/>
            </w:rPr>
            <w:fldChar w:fldCharType="begin"/>
          </w:r>
          <w:r>
            <w:rPr>
              <w:rFonts w:hint="eastAsia" w:ascii="黑体" w:hAnsi="黑体" w:eastAsia="黑体" w:cs="黑体"/>
              <w:b w:val="0"/>
              <w:bCs/>
              <w:caps w:val="0"/>
              <w:smallCaps w:val="0"/>
              <w:sz w:val="28"/>
              <w:szCs w:val="28"/>
              <w:highlight w:val="none"/>
            </w:rPr>
            <w:instrText xml:space="preserve">TOC \o "1-3" \h \u </w:instrText>
          </w:r>
          <w:r>
            <w:rPr>
              <w:rFonts w:hint="eastAsia" w:ascii="黑体" w:hAnsi="黑体" w:eastAsia="黑体" w:cs="黑体"/>
              <w:b w:val="0"/>
              <w:bCs/>
              <w:caps w:val="0"/>
              <w:smallCaps w:val="0"/>
              <w:sz w:val="28"/>
              <w:szCs w:val="28"/>
              <w:highlight w:val="none"/>
            </w:rPr>
            <w:fldChar w:fldCharType="separate"/>
          </w: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_Toc31261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en-US" w:eastAsia="zh-CN"/>
            </w:rPr>
            <w:t>第一部分 招标公告</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_Toc31261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D9F7E13">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_Toc28606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6"/>
              <w:highlight w:val="none"/>
              <w:lang w:val="en-US" w:eastAsia="zh-CN"/>
            </w:rPr>
            <w:t>深圳市鹏劳人力资源管理有限公司采购招标</w:t>
          </w:r>
          <w:r>
            <w:rPr>
              <w:rFonts w:hint="eastAsia" w:ascii="黑体" w:hAnsi="黑体" w:eastAsia="黑体" w:cs="黑体"/>
              <w:b w:val="0"/>
              <w:bCs w:val="0"/>
              <w:caps w:val="0"/>
              <w:smallCaps w:val="0"/>
              <w:szCs w:val="36"/>
              <w:highlight w:val="none"/>
            </w:rPr>
            <w:t>报名表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_Toc28606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EC54868">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0" w:firstLineChars="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_Toc30095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en-US" w:eastAsia="zh-CN"/>
            </w:rPr>
            <w:t>第二部分 招标文件</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_Toc30095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43316E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_Toc14060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第一章 项目概况</w:t>
          </w:r>
          <w:r>
            <w:rPr>
              <w:rFonts w:hint="eastAsia" w:ascii="黑体" w:hAnsi="黑体" w:eastAsia="黑体" w:cs="黑体"/>
              <w:b w:val="0"/>
              <w:bCs w:val="0"/>
              <w:caps w:val="0"/>
              <w:smallCaps w:val="0"/>
              <w:szCs w:val="32"/>
              <w:highlight w:val="none"/>
              <w:lang w:val="en-US" w:eastAsia="zh-CN"/>
            </w:rPr>
            <w:t>及招标程序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_Toc14060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9F0151F">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_Toc2260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一、项目名称</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_Toc2260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D6B63B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_Toc26069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二、招标编号</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_Toc26069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A55C0C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_Toc22682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三、投标人资质要求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_Toc22682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F82B2D9">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_Toc7457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四、项目内容、服务需求及期限</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_Toc7457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3286D5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_Toc2681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五、项目总限价</w:t>
          </w:r>
          <w:r>
            <w:rPr>
              <w:rFonts w:hint="eastAsia" w:ascii="黑体" w:hAnsi="黑体" w:eastAsia="黑体" w:cs="黑体"/>
              <w:b w:val="0"/>
              <w:bCs w:val="0"/>
              <w:caps w:val="0"/>
              <w:smallCaps w:val="0"/>
              <w:szCs w:val="32"/>
              <w:highlight w:val="none"/>
              <w:lang w:eastAsia="zh-CN"/>
            </w:rPr>
            <w:t>及预估体检人数</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_Toc2681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10</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CEC6519">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_Toc7508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六、投标文件要求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_Toc7508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11</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4E9E3385">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_Toc28941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七、投标人须知</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_Toc28941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13</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3AB596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_Toc14904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八、投标文件作废</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_Toc14904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15</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146DA2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_Toc5667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九、其他要求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_Toc5667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16</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5093B44">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_Toc3787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十、投标文件递交</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_Toc3787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FC00E6C">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_Toc10120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一</w:t>
          </w:r>
          <w:r>
            <w:rPr>
              <w:rFonts w:hint="eastAsia" w:ascii="黑体" w:hAnsi="黑体" w:eastAsia="黑体" w:cs="黑体"/>
              <w:b w:val="0"/>
              <w:bCs w:val="0"/>
              <w:caps w:val="0"/>
              <w:smallCaps w:val="0"/>
              <w:szCs w:val="32"/>
              <w:highlight w:val="none"/>
            </w:rPr>
            <w:t>、开标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_Toc10120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FBB14D2">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_Toc7523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二</w:t>
          </w:r>
          <w:r>
            <w:rPr>
              <w:rFonts w:hint="eastAsia" w:ascii="黑体" w:hAnsi="黑体" w:eastAsia="黑体" w:cs="黑体"/>
              <w:b w:val="0"/>
              <w:bCs w:val="0"/>
              <w:caps w:val="0"/>
              <w:smallCaps w:val="0"/>
              <w:szCs w:val="32"/>
              <w:highlight w:val="none"/>
            </w:rPr>
            <w:t>、评标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_Toc7523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4E200F0">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_Toc25353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三</w:t>
          </w:r>
          <w:r>
            <w:rPr>
              <w:rFonts w:hint="eastAsia" w:ascii="黑体" w:hAnsi="黑体" w:eastAsia="黑体" w:cs="黑体"/>
              <w:b w:val="0"/>
              <w:bCs w:val="0"/>
              <w:caps w:val="0"/>
              <w:smallCaps w:val="0"/>
              <w:szCs w:val="32"/>
              <w:highlight w:val="none"/>
            </w:rPr>
            <w:t>、定标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_Toc25353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6B53376A">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_Toc9765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四</w:t>
          </w:r>
          <w:r>
            <w:rPr>
              <w:rFonts w:hint="eastAsia" w:ascii="黑体" w:hAnsi="黑体" w:eastAsia="黑体" w:cs="黑体"/>
              <w:b w:val="0"/>
              <w:bCs w:val="0"/>
              <w:caps w:val="0"/>
              <w:smallCaps w:val="0"/>
              <w:szCs w:val="32"/>
              <w:highlight w:val="none"/>
            </w:rPr>
            <w:t>、结算方式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_Toc9765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7A59915">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_Toc17308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五</w:t>
          </w:r>
          <w:r>
            <w:rPr>
              <w:rFonts w:hint="eastAsia" w:ascii="黑体" w:hAnsi="黑体" w:eastAsia="黑体" w:cs="黑体"/>
              <w:b w:val="0"/>
              <w:bCs w:val="0"/>
              <w:caps w:val="0"/>
              <w:smallCaps w:val="0"/>
              <w:szCs w:val="32"/>
              <w:highlight w:val="none"/>
            </w:rPr>
            <w:t>、解释权</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_Toc17308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0E0878F">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_Toc3586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第二章 评标程序及标准</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_Toc3586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20</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07A25D7">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第三章 合同条款</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27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E63D5F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_Toc17115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第四章 投标文件格式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_Toc17115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34</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1EB3BB0">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_Toc15150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格式1：《唱标信封》</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_Toc15150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34</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574D22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_Toc11637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格式2：开标一览表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_Toc11637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35</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295607A2">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_Toc16974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w:t>
          </w:r>
          <w:r>
            <w:rPr>
              <w:rFonts w:hint="eastAsia" w:ascii="黑体" w:hAnsi="黑体" w:eastAsia="黑体" w:cs="黑体"/>
              <w:b w:val="0"/>
              <w:bCs w:val="0"/>
              <w:caps w:val="0"/>
              <w:smallCaps w:val="0"/>
              <w:szCs w:val="24"/>
              <w:highlight w:val="none"/>
              <w:lang w:val="en-US" w:eastAsia="zh-CN"/>
            </w:rPr>
            <w:t>3</w:t>
          </w:r>
          <w:r>
            <w:rPr>
              <w:rFonts w:hint="eastAsia" w:ascii="黑体" w:hAnsi="黑体" w:eastAsia="黑体" w:cs="黑体"/>
              <w:b w:val="0"/>
              <w:bCs w:val="0"/>
              <w:caps w:val="0"/>
              <w:smallCaps w:val="0"/>
              <w:szCs w:val="24"/>
              <w:highlight w:val="none"/>
            </w:rPr>
            <w:t>：</w:t>
          </w:r>
          <w:r>
            <w:rPr>
              <w:rFonts w:hint="eastAsia" w:ascii="黑体" w:hAnsi="黑体" w:eastAsia="黑体" w:cs="黑体"/>
              <w:b w:val="0"/>
              <w:bCs w:val="0"/>
              <w:caps w:val="0"/>
              <w:smallCaps w:val="0"/>
              <w:szCs w:val="24"/>
              <w:highlight w:val="none"/>
              <w:lang w:eastAsia="zh-CN"/>
            </w:rPr>
            <w:t>体检方案及</w:t>
          </w:r>
          <w:r>
            <w:rPr>
              <w:rFonts w:hint="eastAsia" w:ascii="黑体" w:hAnsi="黑体" w:eastAsia="黑体" w:cs="黑体"/>
              <w:b w:val="0"/>
              <w:bCs w:val="0"/>
              <w:caps w:val="0"/>
              <w:smallCaps w:val="0"/>
              <w:szCs w:val="24"/>
              <w:highlight w:val="none"/>
            </w:rPr>
            <w:t>报价表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_Toc16974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36</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266B93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_Toc2151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格式4：</w:t>
          </w:r>
          <w:r>
            <w:rPr>
              <w:rFonts w:hint="eastAsia" w:ascii="黑体" w:hAnsi="黑体" w:eastAsia="黑体" w:cs="黑体"/>
              <w:b w:val="0"/>
              <w:bCs w:val="0"/>
              <w:caps w:val="0"/>
              <w:smallCaps w:val="0"/>
              <w:szCs w:val="24"/>
              <w:highlight w:val="none"/>
              <w:lang w:val="en-US" w:eastAsia="zh-CN"/>
            </w:rPr>
            <w:t>招标文件响应</w:t>
          </w:r>
          <w:r>
            <w:rPr>
              <w:rFonts w:hint="eastAsia" w:ascii="黑体" w:hAnsi="黑体" w:eastAsia="黑体" w:cs="黑体"/>
              <w:b w:val="0"/>
              <w:bCs w:val="0"/>
              <w:caps w:val="0"/>
              <w:smallCaps w:val="0"/>
              <w:szCs w:val="24"/>
              <w:highlight w:val="none"/>
              <w:lang w:val="zh-CN"/>
            </w:rPr>
            <w:t>情况</w:t>
          </w:r>
          <w:r>
            <w:rPr>
              <w:rFonts w:hint="eastAsia" w:ascii="黑体" w:hAnsi="黑体" w:eastAsia="黑体" w:cs="黑体"/>
              <w:b w:val="0"/>
              <w:bCs w:val="0"/>
              <w:caps w:val="0"/>
              <w:smallCaps w:val="0"/>
              <w:szCs w:val="24"/>
              <w:highlight w:val="none"/>
              <w:lang w:val="en-US" w:eastAsia="zh-CN"/>
            </w:rPr>
            <w:t>偏离表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_Toc2151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1B5CC58">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_Toc27438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w:t>
          </w:r>
          <w:r>
            <w:rPr>
              <w:rFonts w:hint="eastAsia" w:ascii="黑体" w:hAnsi="黑体" w:eastAsia="黑体" w:cs="黑体"/>
              <w:b w:val="0"/>
              <w:bCs w:val="0"/>
              <w:caps w:val="0"/>
              <w:smallCaps w:val="0"/>
              <w:szCs w:val="24"/>
              <w:highlight w:val="none"/>
              <w:lang w:val="en-US" w:eastAsia="zh-CN"/>
            </w:rPr>
            <w:t>5</w:t>
          </w:r>
          <w:r>
            <w:rPr>
              <w:rFonts w:hint="eastAsia" w:ascii="黑体" w:hAnsi="黑体" w:eastAsia="黑体" w:cs="黑体"/>
              <w:b w:val="0"/>
              <w:bCs w:val="0"/>
              <w:caps w:val="0"/>
              <w:smallCaps w:val="0"/>
              <w:szCs w:val="24"/>
              <w:highlight w:val="none"/>
              <w:lang w:val="zh-CN"/>
            </w:rPr>
            <w:t>：</w:t>
          </w:r>
          <w:r>
            <w:rPr>
              <w:rFonts w:hint="eastAsia" w:ascii="黑体" w:hAnsi="黑体" w:eastAsia="黑体" w:cs="黑体"/>
              <w:b w:val="0"/>
              <w:bCs w:val="0"/>
              <w:caps w:val="0"/>
              <w:smallCaps w:val="0"/>
              <w:szCs w:val="24"/>
              <w:highlight w:val="none"/>
              <w:lang w:val="en-US" w:eastAsia="zh-CN"/>
            </w:rPr>
            <w:t>廉洁</w:t>
          </w:r>
          <w:r>
            <w:rPr>
              <w:rFonts w:hint="eastAsia" w:ascii="黑体" w:hAnsi="黑体" w:eastAsia="黑体" w:cs="黑体"/>
              <w:b w:val="0"/>
              <w:bCs w:val="0"/>
              <w:caps w:val="0"/>
              <w:smallCaps w:val="0"/>
              <w:szCs w:val="24"/>
              <w:highlight w:val="none"/>
              <w:lang w:val="zh-CN"/>
            </w:rPr>
            <w:t>承诺函</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_Toc27438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8777B0F">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_Toc12501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w:t>
          </w:r>
          <w:r>
            <w:rPr>
              <w:rFonts w:hint="eastAsia" w:ascii="黑体" w:hAnsi="黑体" w:eastAsia="黑体" w:cs="黑体"/>
              <w:b w:val="0"/>
              <w:bCs w:val="0"/>
              <w:caps w:val="0"/>
              <w:smallCaps w:val="0"/>
              <w:szCs w:val="24"/>
              <w:highlight w:val="none"/>
              <w:lang w:val="en-US" w:eastAsia="zh-CN"/>
            </w:rPr>
            <w:t>6</w:t>
          </w:r>
          <w:r>
            <w:rPr>
              <w:rFonts w:hint="eastAsia" w:ascii="黑体" w:hAnsi="黑体" w:eastAsia="黑体" w:cs="黑体"/>
              <w:b w:val="0"/>
              <w:bCs w:val="0"/>
              <w:caps w:val="0"/>
              <w:smallCaps w:val="0"/>
              <w:szCs w:val="24"/>
              <w:highlight w:val="none"/>
              <w:lang w:val="zh-CN"/>
            </w:rPr>
            <w:t>：</w:t>
          </w:r>
          <w:r>
            <w:rPr>
              <w:rFonts w:hint="eastAsia" w:ascii="黑体" w:hAnsi="黑体" w:eastAsia="黑体" w:cs="黑体"/>
              <w:b w:val="0"/>
              <w:bCs w:val="0"/>
              <w:caps w:val="0"/>
              <w:smallCaps w:val="0"/>
              <w:szCs w:val="24"/>
              <w:highlight w:val="none"/>
              <w:lang w:val="en-US" w:eastAsia="zh-CN"/>
            </w:rPr>
            <w:t>服务保价</w:t>
          </w:r>
          <w:r>
            <w:rPr>
              <w:rFonts w:hint="eastAsia" w:ascii="黑体" w:hAnsi="黑体" w:eastAsia="黑体" w:cs="黑体"/>
              <w:b w:val="0"/>
              <w:bCs w:val="0"/>
              <w:caps w:val="0"/>
              <w:smallCaps w:val="0"/>
              <w:szCs w:val="24"/>
              <w:highlight w:val="none"/>
              <w:lang w:val="zh-CN"/>
            </w:rPr>
            <w:t>承诺函</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_Toc12501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4C08E10D">
          <w:pPr>
            <w:pStyle w:val="13"/>
            <w:keepNext w:val="0"/>
            <w:keepLines w:val="0"/>
            <w:pageBreakBefore w:val="0"/>
            <w:widowControl w:val="0"/>
            <w:kinsoku/>
            <w:wordWrap/>
            <w:overflowPunct/>
            <w:topLinePunct w:val="0"/>
            <w:autoSpaceDE/>
            <w:autoSpaceDN/>
            <w:bidi w:val="0"/>
            <w:adjustRightInd/>
            <w:snapToGrid/>
            <w:spacing w:before="0" w:after="0" w:line="300" w:lineRule="exact"/>
            <w:ind w:left="0" w:leftChars="0" w:firstLine="643" w:firstLineChars="200"/>
            <w:jc w:val="both"/>
            <w:textAlignment w:val="auto"/>
            <w:outlineLvl w:val="9"/>
            <w:rPr>
              <w:rFonts w:hint="eastAsia" w:ascii="Times New Roman" w:hAnsi="Times New Roman" w:eastAsia="仿宋" w:cs="仿宋"/>
              <w:b w:val="0"/>
              <w:bCs/>
              <w:caps w:val="0"/>
              <w:smallCaps w:val="0"/>
              <w:sz w:val="28"/>
              <w:szCs w:val="28"/>
              <w:highlight w:val="none"/>
            </w:rPr>
          </w:pPr>
          <w:r>
            <w:rPr>
              <w:rFonts w:hint="eastAsia" w:ascii="黑体" w:hAnsi="黑体" w:eastAsia="黑体" w:cs="黑体"/>
              <w:bCs/>
              <w:caps w:val="0"/>
              <w:smallCaps w:val="0"/>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2DD55692">
      <w:pPr>
        <w:pStyle w:val="3"/>
        <w:spacing w:line="480" w:lineRule="exact"/>
        <w:jc w:val="center"/>
        <w:rPr>
          <w:rFonts w:hint="eastAsia" w:ascii="宋体" w:hAnsi="宋体" w:eastAsia="宋体" w:cs="宋体"/>
          <w:b/>
          <w:bCs w:val="0"/>
          <w:sz w:val="28"/>
          <w:szCs w:val="28"/>
          <w:highlight w:val="none"/>
        </w:rPr>
      </w:pPr>
      <w:bookmarkStart w:id="3" w:name="_Toc4395"/>
    </w:p>
    <w:p w14:paraId="1833C5D1">
      <w:pPr>
        <w:rPr>
          <w:rFonts w:hint="eastAsia"/>
        </w:rPr>
      </w:pPr>
    </w:p>
    <w:p w14:paraId="3D56D88C">
      <w:pPr>
        <w:rPr>
          <w:rFonts w:hint="eastAsia" w:ascii="宋体" w:hAnsi="宋体" w:eastAsia="宋体" w:cs="宋体"/>
          <w:b/>
          <w:bCs w:val="0"/>
          <w:sz w:val="28"/>
          <w:szCs w:val="28"/>
          <w:highlight w:val="none"/>
          <w:lang w:val="en-US" w:eastAsia="zh-CN"/>
        </w:rPr>
      </w:pPr>
    </w:p>
    <w:p w14:paraId="278A94A3">
      <w:pPr>
        <w:rPr>
          <w:rFonts w:hint="eastAsia" w:ascii="宋体" w:hAnsi="宋体" w:eastAsia="宋体" w:cs="宋体"/>
          <w:b/>
          <w:bCs w:val="0"/>
          <w:sz w:val="28"/>
          <w:szCs w:val="28"/>
          <w:highlight w:val="none"/>
          <w:lang w:val="en-US" w:eastAsia="zh-CN"/>
        </w:rPr>
      </w:pPr>
    </w:p>
    <w:p w14:paraId="305F2F41">
      <w:pPr>
        <w:rPr>
          <w:rFonts w:hint="eastAsia" w:ascii="宋体" w:hAnsi="宋体" w:eastAsia="宋体" w:cs="宋体"/>
          <w:b/>
          <w:bCs w:val="0"/>
          <w:sz w:val="28"/>
          <w:szCs w:val="28"/>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4" w:name="_Toc31261"/>
      <w:bookmarkStart w:id="5" w:name="第一部分"/>
      <w:bookmarkStart w:id="6" w:name="_Toc7967"/>
      <w:r>
        <w:rPr>
          <w:rFonts w:hint="eastAsia" w:ascii="黑体" w:hAnsi="黑体" w:eastAsia="黑体" w:cs="黑体"/>
          <w:b w:val="0"/>
          <w:bCs/>
          <w:sz w:val="32"/>
          <w:szCs w:val="32"/>
          <w:highlight w:val="none"/>
          <w:lang w:val="en-US" w:eastAsia="zh-CN"/>
        </w:rPr>
        <w:t>第一部分 招标公告</w:t>
      </w:r>
      <w:bookmarkEnd w:id="4"/>
    </w:p>
    <w:bookmarkEnd w:id="5"/>
    <w:p w14:paraId="11568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sz w:val="44"/>
          <w:szCs w:val="44"/>
          <w:highlight w:val="none"/>
        </w:rPr>
      </w:pPr>
      <w:bookmarkStart w:id="7" w:name="_Toc22867"/>
      <w:bookmarkStart w:id="8" w:name="_Toc21316"/>
      <w:r>
        <w:rPr>
          <w:rFonts w:hint="eastAsia" w:ascii="Times New Roman" w:hAnsi="Times New Roman" w:eastAsia="方正小标宋简体" w:cs="方正小标宋简体"/>
          <w:b w:val="0"/>
          <w:bCs/>
          <w:spacing w:val="-11"/>
          <w:sz w:val="44"/>
          <w:szCs w:val="44"/>
          <w:highlight w:val="none"/>
        </w:rPr>
        <w:t>深圳市鹏劳人力资源管理有限公司</w:t>
      </w:r>
    </w:p>
    <w:p w14:paraId="0D09E5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sz w:val="44"/>
          <w:szCs w:val="44"/>
          <w:highlight w:val="none"/>
          <w:lang w:eastAsia="zh-CN"/>
        </w:rPr>
      </w:pPr>
      <w:r>
        <w:rPr>
          <w:rFonts w:hint="eastAsia" w:ascii="Times New Roman" w:hAnsi="Times New Roman" w:eastAsia="方正小标宋简体" w:cs="方正小标宋简体"/>
          <w:b w:val="0"/>
          <w:bCs/>
          <w:spacing w:val="-11"/>
          <w:sz w:val="44"/>
          <w:szCs w:val="44"/>
          <w:highlight w:val="none"/>
          <w:lang w:val="en-US" w:eastAsia="zh-CN"/>
        </w:rPr>
        <w:t>2025年度</w:t>
      </w:r>
      <w:r>
        <w:rPr>
          <w:rFonts w:hint="eastAsia" w:ascii="Times New Roman" w:hAnsi="Times New Roman" w:eastAsia="方正小标宋简体" w:cs="方正小标宋简体"/>
          <w:b w:val="0"/>
          <w:bCs/>
          <w:spacing w:val="-11"/>
          <w:sz w:val="44"/>
          <w:szCs w:val="44"/>
          <w:highlight w:val="none"/>
        </w:rPr>
        <w:t>员工</w:t>
      </w:r>
      <w:r>
        <w:rPr>
          <w:rFonts w:hint="eastAsia" w:ascii="Times New Roman" w:hAnsi="Times New Roman" w:eastAsia="方正小标宋简体" w:cs="方正小标宋简体"/>
          <w:b w:val="0"/>
          <w:bCs/>
          <w:spacing w:val="-11"/>
          <w:sz w:val="44"/>
          <w:szCs w:val="44"/>
          <w:highlight w:val="none"/>
          <w:lang w:val="en-US" w:eastAsia="zh-CN"/>
        </w:rPr>
        <w:t>健康</w:t>
      </w:r>
      <w:r>
        <w:rPr>
          <w:rFonts w:hint="eastAsia" w:ascii="Times New Roman" w:hAnsi="Times New Roman" w:eastAsia="方正小标宋简体" w:cs="方正小标宋简体"/>
          <w:b w:val="0"/>
          <w:bCs/>
          <w:spacing w:val="-11"/>
          <w:sz w:val="44"/>
          <w:szCs w:val="44"/>
          <w:highlight w:val="none"/>
        </w:rPr>
        <w:t>体检</w:t>
      </w:r>
      <w:r>
        <w:rPr>
          <w:rFonts w:hint="eastAsia" w:ascii="Times New Roman" w:hAnsi="Times New Roman" w:eastAsia="方正小标宋简体" w:cs="方正小标宋简体"/>
          <w:b w:val="0"/>
          <w:bCs/>
          <w:spacing w:val="-11"/>
          <w:sz w:val="44"/>
          <w:szCs w:val="44"/>
          <w:highlight w:val="none"/>
          <w:lang w:val="en-US" w:eastAsia="zh-CN"/>
        </w:rPr>
        <w:t>项目</w:t>
      </w:r>
    </w:p>
    <w:p w14:paraId="47F3703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kern w:val="2"/>
          <w:sz w:val="44"/>
          <w:szCs w:val="44"/>
          <w:highlight w:val="none"/>
          <w:lang w:val="en-US" w:eastAsia="zh-CN" w:bidi="ar-SA"/>
        </w:rPr>
      </w:pPr>
      <w:bookmarkStart w:id="9" w:name="_Toc27902"/>
      <w:r>
        <w:rPr>
          <w:rFonts w:hint="eastAsia" w:ascii="Times New Roman" w:hAnsi="Times New Roman" w:eastAsia="方正小标宋简体" w:cs="方正小标宋简体"/>
          <w:b w:val="0"/>
          <w:bCs/>
          <w:spacing w:val="-11"/>
          <w:kern w:val="2"/>
          <w:sz w:val="44"/>
          <w:szCs w:val="44"/>
          <w:highlight w:val="none"/>
          <w:lang w:val="en-US" w:eastAsia="zh-CN" w:bidi="ar-SA"/>
        </w:rPr>
        <w:t>招标公告</w:t>
      </w:r>
      <w:bookmarkEnd w:id="6"/>
      <w:bookmarkEnd w:id="7"/>
      <w:bookmarkEnd w:id="8"/>
      <w:bookmarkEnd w:id="9"/>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lang w:eastAsia="zh-CN"/>
        </w:rPr>
        <w:t>根据《深圳市鹏劳人力资源管理有限公司采购管理暂行办法》、《深圳市鹏劳人力资源管理有限公司招标管理暂行办法》等</w:t>
      </w:r>
      <w:r>
        <w:rPr>
          <w:rFonts w:hint="eastAsia" w:ascii="Times New Roman" w:hAnsi="Times New Roman" w:eastAsia="仿宋_GB2312" w:cs="仿宋_GB2312"/>
          <w:bCs/>
          <w:sz w:val="32"/>
          <w:szCs w:val="32"/>
          <w:highlight w:val="none"/>
        </w:rPr>
        <w:t>有关规定，</w:t>
      </w:r>
      <w:r>
        <w:rPr>
          <w:rFonts w:hint="eastAsia" w:ascii="Times New Roman" w:hAnsi="Times New Roman" w:eastAsia="仿宋_GB2312" w:cs="仿宋_GB2312"/>
          <w:bCs/>
          <w:sz w:val="32"/>
          <w:szCs w:val="32"/>
          <w:highlight w:val="none"/>
          <w:lang w:eastAsia="zh-CN"/>
        </w:rPr>
        <w:t>现就本公司员工</w:t>
      </w:r>
      <w:r>
        <w:rPr>
          <w:rFonts w:hint="eastAsia" w:ascii="Times New Roman" w:hAnsi="Times New Roman" w:eastAsia="仿宋_GB2312" w:cs="仿宋_GB2312"/>
          <w:bCs/>
          <w:sz w:val="32"/>
          <w:szCs w:val="32"/>
          <w:highlight w:val="none"/>
          <w:lang w:val="en-US" w:eastAsia="zh-CN"/>
        </w:rPr>
        <w:t>健康</w:t>
      </w:r>
      <w:r>
        <w:rPr>
          <w:rFonts w:hint="eastAsia" w:ascii="Times New Roman" w:hAnsi="Times New Roman" w:eastAsia="仿宋_GB2312" w:cs="仿宋_GB2312"/>
          <w:bCs/>
          <w:sz w:val="32"/>
          <w:szCs w:val="32"/>
          <w:highlight w:val="none"/>
          <w:lang w:eastAsia="zh-CN"/>
        </w:rPr>
        <w:t>体检项目（</w:t>
      </w:r>
      <w:r>
        <w:rPr>
          <w:rFonts w:hint="eastAsia" w:ascii="Times New Roman" w:hAnsi="Times New Roman" w:eastAsia="仿宋_GB2312" w:cs="仿宋_GB2312"/>
          <w:bCs/>
          <w:sz w:val="32"/>
          <w:szCs w:val="32"/>
          <w:highlight w:val="none"/>
          <w:lang w:val="en-US" w:eastAsia="zh-CN"/>
        </w:rPr>
        <w:t>项目编号：PLHR-ZB-FW-202506</w:t>
      </w:r>
      <w:r>
        <w:rPr>
          <w:rFonts w:hint="eastAsia" w:ascii="Times New Roman" w:hAnsi="Times New Roman" w:eastAsia="仿宋_GB2312" w:cs="仿宋_GB2312"/>
          <w:bCs/>
          <w:sz w:val="32"/>
          <w:szCs w:val="32"/>
          <w:highlight w:val="none"/>
          <w:lang w:eastAsia="zh-CN"/>
        </w:rPr>
        <w:t>）面向社会各供方实施</w:t>
      </w:r>
      <w:r>
        <w:rPr>
          <w:rFonts w:hint="eastAsia" w:ascii="Times New Roman" w:hAnsi="Times New Roman" w:eastAsia="仿宋_GB2312" w:cs="仿宋_GB2312"/>
          <w:bCs/>
          <w:sz w:val="32"/>
          <w:szCs w:val="32"/>
          <w:highlight w:val="none"/>
          <w:lang w:val="en-US" w:eastAsia="zh-CN"/>
        </w:rPr>
        <w:t>公开招标</w:t>
      </w:r>
      <w:r>
        <w:rPr>
          <w:rFonts w:hint="eastAsia"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lang w:eastAsia="zh-CN"/>
        </w:rPr>
        <w:t>请有意向参与投标的供方下载《深圳市鹏劳人力资源管理有限公司员工</w:t>
      </w:r>
      <w:r>
        <w:rPr>
          <w:rFonts w:hint="eastAsia" w:ascii="Times New Roman" w:hAnsi="Times New Roman" w:eastAsia="仿宋_GB2312" w:cs="仿宋_GB2312"/>
          <w:bCs/>
          <w:sz w:val="32"/>
          <w:szCs w:val="32"/>
          <w:highlight w:val="none"/>
          <w:lang w:val="en-US" w:eastAsia="zh-CN"/>
        </w:rPr>
        <w:t>2025年度员工健康体检项目</w:t>
      </w:r>
      <w:r>
        <w:rPr>
          <w:rFonts w:hint="eastAsia" w:ascii="Times New Roman" w:hAnsi="Times New Roman" w:eastAsia="仿宋_GB2312" w:cs="仿宋_GB2312"/>
          <w:bCs/>
          <w:sz w:val="32"/>
          <w:szCs w:val="32"/>
          <w:highlight w:val="none"/>
          <w:lang w:eastAsia="zh-CN"/>
        </w:rPr>
        <w:t>招标文件》（本公告附件</w:t>
      </w:r>
      <w:r>
        <w:rPr>
          <w:rFonts w:hint="eastAsia" w:ascii="Times New Roman" w:hAnsi="Times New Roman" w:eastAsia="仿宋_GB2312" w:cs="仿宋_GB2312"/>
          <w:bCs/>
          <w:sz w:val="32"/>
          <w:szCs w:val="32"/>
          <w:highlight w:val="none"/>
          <w:lang w:val="en-US" w:eastAsia="zh-CN"/>
        </w:rPr>
        <w:t>2</w:t>
      </w:r>
      <w:r>
        <w:rPr>
          <w:rFonts w:hint="eastAsia" w:ascii="Times New Roman" w:hAnsi="Times New Roman" w:eastAsia="仿宋_GB2312" w:cs="仿宋_GB2312"/>
          <w:bCs/>
          <w:sz w:val="32"/>
          <w:szCs w:val="32"/>
          <w:highlight w:val="none"/>
          <w:lang w:eastAsia="zh-CN"/>
        </w:rPr>
        <w:t>），按招标文件及本公告要求实施投标：</w:t>
      </w:r>
    </w:p>
    <w:p w14:paraId="6459D09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eastAsia="zh-CN"/>
        </w:rPr>
        <w:t>深圳市鹏劳人力资源管理有限公司</w:t>
      </w:r>
      <w:r>
        <w:rPr>
          <w:rFonts w:hint="eastAsia" w:ascii="Times New Roman" w:hAnsi="Times New Roman" w:eastAsia="仿宋_GB2312" w:cs="仿宋_GB2312"/>
          <w:bCs/>
          <w:sz w:val="32"/>
          <w:szCs w:val="32"/>
          <w:highlight w:val="none"/>
          <w:lang w:val="en-US" w:eastAsia="zh-CN"/>
        </w:rPr>
        <w:t>2025</w:t>
      </w:r>
      <w:r>
        <w:rPr>
          <w:rFonts w:hint="eastAsia" w:ascii="Times New Roman" w:hAnsi="Times New Roman" w:eastAsia="仿宋_GB2312" w:cs="仿宋_GB2312"/>
          <w:bCs/>
          <w:sz w:val="32"/>
          <w:szCs w:val="32"/>
          <w:highlight w:val="none"/>
          <w:lang w:eastAsia="zh-CN"/>
        </w:rPr>
        <w:t>年度员工健康体检</w:t>
      </w:r>
      <w:r>
        <w:rPr>
          <w:rFonts w:hint="eastAsia" w:ascii="Times New Roman" w:hAnsi="Times New Roman" w:eastAsia="仿宋_GB2312" w:cs="仿宋_GB2312"/>
          <w:bCs/>
          <w:sz w:val="32"/>
          <w:szCs w:val="32"/>
          <w:highlight w:val="none"/>
          <w:lang w:val="en-US" w:eastAsia="zh-CN"/>
        </w:rPr>
        <w:t>项目</w:t>
      </w:r>
    </w:p>
    <w:p w14:paraId="7AEFD90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黑体"/>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PLHR-ZB-FW-202506</w:t>
      </w:r>
    </w:p>
    <w:p w14:paraId="0EC649E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232E35B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eastAsia="zh-CN"/>
        </w:rPr>
        <w:t>为深圳市鹏劳人力资源管理有限公司工作满一年以上员工提供</w:t>
      </w:r>
      <w:r>
        <w:rPr>
          <w:rFonts w:hint="eastAsia" w:ascii="Times New Roman" w:hAnsi="Times New Roman" w:eastAsia="仿宋_GB2312" w:cs="仿宋"/>
          <w:bCs/>
          <w:sz w:val="32"/>
          <w:szCs w:val="32"/>
          <w:highlight w:val="none"/>
          <w:lang w:val="en-US" w:eastAsia="zh-CN"/>
        </w:rPr>
        <w:t>2025年度健康体检及随附服务。</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本项</w:t>
      </w:r>
      <w:r>
        <w:rPr>
          <w:rFonts w:hint="eastAsia" w:ascii="Times New Roman" w:hAnsi="Times New Roman" w:eastAsia="仿宋_GB2312" w:cs="仿宋"/>
          <w:b w:val="0"/>
          <w:bCs/>
          <w:spacing w:val="6"/>
          <w:sz w:val="32"/>
          <w:szCs w:val="32"/>
          <w:highlight w:val="none"/>
          <w:lang w:val="en-US" w:eastAsia="zh-CN"/>
        </w:rPr>
        <w:t>目总预算价为人民币377500元（</w:t>
      </w:r>
      <w:r>
        <w:rPr>
          <w:rFonts w:hint="eastAsia" w:ascii="Times New Roman" w:hAnsi="Times New Roman" w:eastAsia="仿宋_GB2312" w:cs="仿宋"/>
          <w:b w:val="0"/>
          <w:bCs/>
          <w:spacing w:val="6"/>
          <w:sz w:val="32"/>
          <w:szCs w:val="32"/>
          <w:lang w:val="en-US" w:eastAsia="zh-CN"/>
        </w:rPr>
        <w:t>含增值税）</w:t>
      </w:r>
      <w:r>
        <w:rPr>
          <w:rFonts w:hint="eastAsia" w:ascii="Times New Roman" w:eastAsia="仿宋_GB2312" w:cs="仿宋"/>
          <w:b w:val="0"/>
          <w:bCs/>
          <w:spacing w:val="6"/>
          <w:sz w:val="32"/>
          <w:szCs w:val="32"/>
          <w:lang w:val="en-US" w:eastAsia="zh-CN"/>
        </w:rPr>
        <w:t>。</w:t>
      </w:r>
    </w:p>
    <w:p w14:paraId="1149C0E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55607BA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本项目期限</w:t>
      </w:r>
      <w:r>
        <w:rPr>
          <w:rFonts w:hint="eastAsia" w:ascii="Times New Roman" w:hAnsi="Times New Roman" w:eastAsia="仿宋_GB2312" w:cs="仿宋"/>
          <w:bCs/>
          <w:sz w:val="32"/>
          <w:szCs w:val="32"/>
          <w:highlight w:val="none"/>
          <w:lang w:eastAsia="zh-CN"/>
        </w:rPr>
        <w:t>为订立合同之日起至招标人指定员工年度健康体检全部完成，招标人员工自行放弃体检的情况除外。</w:t>
      </w:r>
    </w:p>
    <w:p w14:paraId="5ACFDB3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3CE2F81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（一）投标人应为国内合法合规注册，具备独立法人资格，且根据国家《医院分级管理办法》评级达到三级甲等的医院</w:t>
      </w:r>
      <w:r>
        <w:rPr>
          <w:rFonts w:hint="eastAsia" w:ascii="Times New Roman" w:hAnsi="Times New Roman" w:eastAsia="仿宋_GB2312" w:cs="仿宋"/>
          <w:bCs/>
          <w:sz w:val="32"/>
          <w:szCs w:val="32"/>
          <w:highlight w:val="none"/>
          <w:lang w:val="en-US" w:eastAsia="zh-CN"/>
        </w:rPr>
        <w:t>。</w:t>
      </w:r>
    </w:p>
    <w:p w14:paraId="7107C26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 w:val="0"/>
          <w:bCs/>
          <w:kern w:val="2"/>
          <w:sz w:val="32"/>
          <w:szCs w:val="32"/>
          <w:highlight w:val="none"/>
          <w:lang w:val="en-US" w:eastAsia="zh-CN"/>
        </w:rPr>
        <w:t>投标人总部</w:t>
      </w:r>
      <w:r>
        <w:rPr>
          <w:rFonts w:hint="eastAsia" w:ascii="Times New Roman" w:hAnsi="Times New Roman" w:eastAsia="仿宋_GB2312" w:cs="仿宋"/>
          <w:b w:val="0"/>
          <w:bCs/>
          <w:kern w:val="2"/>
          <w:sz w:val="32"/>
          <w:szCs w:val="32"/>
          <w:highlight w:val="none"/>
          <w:lang w:val="en-US" w:eastAsia="zh-CN"/>
        </w:rPr>
        <w:t>或分支机构</w:t>
      </w:r>
      <w:r>
        <w:rPr>
          <w:rFonts w:hint="default" w:ascii="Times New Roman" w:hAnsi="Times New Roman" w:eastAsia="仿宋_GB2312" w:cs="仿宋"/>
          <w:b w:val="0"/>
          <w:bCs/>
          <w:kern w:val="2"/>
          <w:sz w:val="32"/>
          <w:szCs w:val="32"/>
          <w:highlight w:val="none"/>
          <w:lang w:val="en-US" w:eastAsia="zh-CN"/>
        </w:rPr>
        <w:t>设立具备公众体检服务接待能力</w:t>
      </w:r>
      <w:r>
        <w:rPr>
          <w:rFonts w:hint="eastAsia" w:ascii="Times New Roman" w:hAnsi="Times New Roman" w:eastAsia="仿宋_GB2312" w:cs="仿宋"/>
          <w:b w:val="0"/>
          <w:bCs/>
          <w:kern w:val="2"/>
          <w:sz w:val="32"/>
          <w:szCs w:val="32"/>
          <w:highlight w:val="none"/>
          <w:lang w:val="en-US" w:eastAsia="zh-CN"/>
        </w:rPr>
        <w:t>。</w:t>
      </w:r>
    </w:p>
    <w:p w14:paraId="7B204FF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（三）投标人具有完全响应本项目服务提供需求的能力，能独立承担本招标文件所示民事等法律责任和合同义务。</w:t>
      </w:r>
    </w:p>
    <w:p w14:paraId="505EDD4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等渠道列入失信被执行人、重大税收违法案件当事人名单、政府采购严重违法失信行为记录名单、网络行贿行为记录的情况。</w:t>
      </w:r>
    </w:p>
    <w:p w14:paraId="78714CF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投标人如为与招标人既往合作的供应商，需满足招标人关于供应商的管理规定，且2022年1月1日至本项目确定成交人之日前投标人无重大事故、服务投诉或质量不符合记录。</w:t>
      </w:r>
    </w:p>
    <w:p w14:paraId="0B1DFB7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C5E90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见《深圳市鹏劳人力资源管理有限公司2025年度员工健康体检项目招标文件》（附件2）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有意参与投标的供方请于2025年8月21日12时前向招标人列示联系邮箱（huangxj@plhr.cn）提供资质文件扫描件，填报公告附件1《报名表》，加盖公章并随附资格文件电子版。（本文件所有报名资料格式：扫描件，PDF格式加盖公章）</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拟参与本项目的投标人在获得招标文件后，应及时阅知招标文件，于2025年8月18日17时前就需要招标人答疑、澄清或确认的事项提出答疑澄清请求发送至招标人联系邮箱，逾期不予受理。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招标人将在收到答疑澄清后，统一于2025年8月19日17时以电子邮件形式根据各投标人提出的答疑澄清请求及招标人认为应当补遗说明的情况进行统一答复说明，答复说明按规不披露疑问来源。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7C0A6F4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2025年9月3日14时30分</w:t>
      </w:r>
    </w:p>
    <w:p w14:paraId="50A0F15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2025年9月3日14时30分</w:t>
      </w:r>
    </w:p>
    <w:p w14:paraId="34C7C262">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25915A7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深圳市罗湖区笋岗街道田心社区红岭北路2088号招商开元中心A座13层</w:t>
      </w:r>
    </w:p>
    <w:p w14:paraId="04F41DA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联系人： 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联系电话：0755-25023046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w:t>
      </w:r>
      <w:r>
        <w:rPr>
          <w:rFonts w:hint="eastAsia" w:ascii="Times New Roman" w:hAnsi="Times New Roman" w:eastAsia="仿宋_GB2312" w:cs="仿宋"/>
          <w:bCs/>
          <w:sz w:val="32"/>
          <w:szCs w:val="32"/>
          <w:highlight w:val="none"/>
          <w:lang w:val="en-US" w:eastAsia="zh-CN"/>
        </w:rPr>
        <w:t>深圳市鹏劳人力资源管理有限公司</w:t>
      </w:r>
    </w:p>
    <w:p w14:paraId="4D14B9E3">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 2025年8月14日   </w:t>
      </w:r>
    </w:p>
    <w:p w14:paraId="628A7B6B">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AA8275F">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581474F8">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37506F1">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8BA8562">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6729955">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00B82355">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2EC86488">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79E58E4">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default"/>
          <w:b/>
          <w:bCs w:val="0"/>
          <w:highlight w:val="none"/>
          <w:lang w:val="en-US"/>
        </w:rPr>
      </w:pPr>
      <w:r>
        <w:rPr>
          <w:rFonts w:hint="eastAsia" w:ascii="Times New Roman" w:hAnsi="Times New Roman" w:eastAsia="仿宋_GB2312" w:cs="仿宋"/>
          <w:bCs/>
          <w:sz w:val="32"/>
          <w:szCs w:val="32"/>
          <w:highlight w:val="none"/>
          <w:lang w:val="en-US" w:eastAsia="zh-CN"/>
        </w:rPr>
        <w:t xml:space="preserve">  </w:t>
      </w:r>
      <w:r>
        <w:rPr>
          <w:rFonts w:hint="eastAsia" w:ascii="仿宋" w:hAnsi="仿宋" w:eastAsia="仿宋" w:cs="仿宋"/>
          <w:bCs/>
          <w:sz w:val="32"/>
          <w:szCs w:val="32"/>
          <w:highlight w:val="none"/>
          <w:lang w:val="en-US" w:eastAsia="zh-CN"/>
        </w:rPr>
        <w:t xml:space="preserve">   </w:t>
      </w:r>
    </w:p>
    <w:p w14:paraId="42A317DB">
      <w:pPr>
        <w:rPr>
          <w:rFonts w:hint="eastAsia"/>
          <w:b/>
          <w:bCs w:val="0"/>
          <w:highlight w:val="none"/>
        </w:rPr>
      </w:pPr>
    </w:p>
    <w:p w14:paraId="6760F94F">
      <w:pPr>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附件1：</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10" w:name="_Toc17995"/>
      <w:bookmarkStart w:id="11" w:name="_Toc28606"/>
      <w:bookmarkStart w:id="12" w:name="_Toc140285777"/>
      <w:bookmarkStart w:id="13" w:name="_Toc11570"/>
      <w:bookmarkStart w:id="14" w:name="_Toc28400"/>
      <w:bookmarkStart w:id="66" w:name="_GoBack"/>
      <w:bookmarkEnd w:id="66"/>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10"/>
      <w:bookmarkEnd w:id="11"/>
      <w:bookmarkEnd w:id="12"/>
      <w:bookmarkEnd w:id="13"/>
      <w:bookmarkEnd w:id="14"/>
    </w:p>
    <w:tbl>
      <w:tblPr>
        <w:tblStyle w:val="1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6"/>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6" w:type="pct"/>
            <w:tcBorders>
              <w:tl2br w:val="nil"/>
              <w:tr2bl w:val="nil"/>
            </w:tcBorders>
            <w:noWrap w:val="0"/>
            <w:vAlign w:val="center"/>
          </w:tcPr>
          <w:p w14:paraId="37B38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项目名称</w:t>
            </w:r>
          </w:p>
        </w:tc>
        <w:tc>
          <w:tcPr>
            <w:tcW w:w="3983" w:type="pct"/>
            <w:gridSpan w:val="5"/>
            <w:tcBorders>
              <w:tl2br w:val="nil"/>
              <w:tr2bl w:val="nil"/>
            </w:tcBorders>
            <w:noWrap w:val="0"/>
            <w:vAlign w:val="center"/>
          </w:tcPr>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深圳市鹏劳人力资源管理有限公司2025年度员工健康体检项目</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6" w:type="pct"/>
            <w:tcBorders>
              <w:tl2br w:val="nil"/>
              <w:tr2bl w:val="nil"/>
            </w:tcBorders>
            <w:noWrap w:val="0"/>
            <w:vAlign w:val="center"/>
          </w:tcPr>
          <w:p w14:paraId="72AF4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项目编号</w:t>
            </w:r>
          </w:p>
        </w:tc>
        <w:tc>
          <w:tcPr>
            <w:tcW w:w="1982" w:type="pct"/>
            <w:gridSpan w:val="2"/>
            <w:tcBorders>
              <w:tl2br w:val="nil"/>
              <w:tr2bl w:val="nil"/>
            </w:tcBorders>
            <w:noWrap w:val="0"/>
            <w:vAlign w:val="center"/>
          </w:tcPr>
          <w:p w14:paraId="20BBC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PLHR-ZB-FW-202506</w:t>
            </w:r>
          </w:p>
        </w:tc>
        <w:tc>
          <w:tcPr>
            <w:tcW w:w="900" w:type="pct"/>
            <w:gridSpan w:val="2"/>
            <w:tcBorders>
              <w:tl2br w:val="nil"/>
              <w:tr2bl w:val="nil"/>
            </w:tcBorders>
            <w:noWrap w:val="0"/>
            <w:vAlign w:val="center"/>
          </w:tcPr>
          <w:p w14:paraId="74BBD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所投包号</w:t>
            </w:r>
          </w:p>
        </w:tc>
        <w:tc>
          <w:tcPr>
            <w:tcW w:w="1100" w:type="pct"/>
            <w:tcBorders>
              <w:tl2br w:val="nil"/>
              <w:tr2bl w:val="nil"/>
            </w:tcBorders>
            <w:noWrap w:val="0"/>
            <w:vAlign w:val="center"/>
          </w:tcPr>
          <w:p w14:paraId="24FEF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lang w:val="en-US" w:eastAsia="zh-CN"/>
              </w:rPr>
              <w:t>投标人</w:t>
            </w:r>
            <w:r>
              <w:rPr>
                <w:rFonts w:hint="eastAsia" w:ascii="Times New Roman" w:hAnsi="Times New Roman" w:eastAsia="宋体"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加盖公章</w:t>
            </w:r>
            <w:r>
              <w:rPr>
                <w:rFonts w:hint="eastAsia" w:ascii="Times New Roman" w:hAnsi="Times New Roman" w:eastAsia="宋体" w:cs="仿宋"/>
                <w:b w:val="0"/>
                <w:bCs/>
                <w:sz w:val="21"/>
                <w:szCs w:val="21"/>
                <w:highlight w:val="none"/>
                <w:lang w:eastAsia="zh-CN"/>
              </w:rPr>
              <w:t>）</w:t>
            </w:r>
          </w:p>
        </w:tc>
        <w:tc>
          <w:tcPr>
            <w:tcW w:w="3983" w:type="pct"/>
            <w:gridSpan w:val="5"/>
            <w:tcBorders>
              <w:tl2br w:val="nil"/>
              <w:tr2bl w:val="nil"/>
            </w:tcBorders>
            <w:noWrap w:val="0"/>
            <w:vAlign w:val="center"/>
          </w:tcPr>
          <w:p w14:paraId="50E2F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详细地址</w:t>
            </w:r>
          </w:p>
        </w:tc>
        <w:tc>
          <w:tcPr>
            <w:tcW w:w="1982" w:type="pct"/>
            <w:gridSpan w:val="2"/>
            <w:tcBorders>
              <w:tl2br w:val="nil"/>
              <w:tr2bl w:val="nil"/>
            </w:tcBorders>
            <w:noWrap w:val="0"/>
            <w:vAlign w:val="center"/>
          </w:tcPr>
          <w:p w14:paraId="3214A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1A3C7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邮政编码</w:t>
            </w:r>
          </w:p>
        </w:tc>
        <w:tc>
          <w:tcPr>
            <w:tcW w:w="1100" w:type="pct"/>
            <w:tcBorders>
              <w:tl2br w:val="nil"/>
              <w:tr2bl w:val="nil"/>
            </w:tcBorders>
            <w:noWrap w:val="0"/>
            <w:vAlign w:val="center"/>
          </w:tcPr>
          <w:p w14:paraId="7AE1FD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（负责人）</w:t>
            </w:r>
          </w:p>
        </w:tc>
        <w:tc>
          <w:tcPr>
            <w:tcW w:w="1982" w:type="pct"/>
            <w:gridSpan w:val="2"/>
            <w:tcBorders>
              <w:tl2br w:val="nil"/>
              <w:tr2bl w:val="nil"/>
            </w:tcBorders>
            <w:noWrap w:val="0"/>
            <w:vAlign w:val="center"/>
          </w:tcPr>
          <w:p w14:paraId="5030D0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2A6C4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注册资金</w:t>
            </w:r>
          </w:p>
        </w:tc>
        <w:tc>
          <w:tcPr>
            <w:tcW w:w="1100" w:type="pct"/>
            <w:tcBorders>
              <w:tl2br w:val="nil"/>
              <w:tr2bl w:val="nil"/>
            </w:tcBorders>
            <w:noWrap w:val="0"/>
            <w:vAlign w:val="center"/>
          </w:tcPr>
          <w:p w14:paraId="04858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联系电话</w:t>
            </w:r>
          </w:p>
        </w:tc>
        <w:tc>
          <w:tcPr>
            <w:tcW w:w="1982" w:type="pct"/>
            <w:gridSpan w:val="2"/>
            <w:tcBorders>
              <w:tl2br w:val="nil"/>
              <w:tr2bl w:val="nil"/>
            </w:tcBorders>
            <w:noWrap w:val="0"/>
            <w:vAlign w:val="center"/>
          </w:tcPr>
          <w:p w14:paraId="6A0444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00158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传真</w:t>
            </w:r>
          </w:p>
        </w:tc>
        <w:tc>
          <w:tcPr>
            <w:tcW w:w="1100" w:type="pct"/>
            <w:tcBorders>
              <w:tl2br w:val="nil"/>
              <w:tr2bl w:val="nil"/>
            </w:tcBorders>
            <w:noWrap w:val="0"/>
            <w:vAlign w:val="center"/>
          </w:tcPr>
          <w:p w14:paraId="3F9A2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6" w:type="pct"/>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rPr>
              <w:t>投标联系人</w:t>
            </w:r>
            <w:r>
              <w:rPr>
                <w:rFonts w:hint="eastAsia" w:ascii="Times New Roman" w:hAnsi="Times New Roman" w:eastAsia="宋体" w:cs="仿宋"/>
                <w:b w:val="0"/>
                <w:bCs/>
                <w:sz w:val="21"/>
                <w:szCs w:val="21"/>
                <w:highlight w:val="none"/>
                <w:lang w:val="en-US" w:eastAsia="zh-CN"/>
              </w:rPr>
              <w:t xml:space="preserve">   </w:t>
            </w: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谈判代表</w:t>
            </w:r>
            <w:r>
              <w:rPr>
                <w:rFonts w:hint="eastAsia" w:ascii="Times New Roman" w:hAnsi="Times New Roman" w:eastAsia="宋体" w:cs="仿宋"/>
                <w:b w:val="0"/>
                <w:bCs/>
                <w:sz w:val="21"/>
                <w:szCs w:val="21"/>
                <w:highlight w:val="none"/>
                <w:lang w:eastAsia="zh-CN"/>
              </w:rPr>
              <w:t>）</w:t>
            </w:r>
          </w:p>
        </w:tc>
        <w:tc>
          <w:tcPr>
            <w:tcW w:w="1082" w:type="pct"/>
            <w:tcBorders>
              <w:tl2br w:val="nil"/>
              <w:tr2bl w:val="nil"/>
            </w:tcBorders>
            <w:noWrap w:val="0"/>
            <w:vAlign w:val="center"/>
          </w:tcPr>
          <w:p w14:paraId="06FB8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姓名</w:t>
            </w:r>
          </w:p>
        </w:tc>
        <w:tc>
          <w:tcPr>
            <w:tcW w:w="1399" w:type="pct"/>
            <w:gridSpan w:val="2"/>
            <w:tcBorders>
              <w:tl2br w:val="nil"/>
              <w:tr2bl w:val="nil"/>
            </w:tcBorders>
            <w:noWrap w:val="0"/>
            <w:vAlign w:val="center"/>
          </w:tcPr>
          <w:p w14:paraId="55F3F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电话号码（手机）</w:t>
            </w:r>
          </w:p>
        </w:tc>
        <w:tc>
          <w:tcPr>
            <w:tcW w:w="1500" w:type="pct"/>
            <w:gridSpan w:val="2"/>
            <w:tcBorders>
              <w:tl2br w:val="nil"/>
              <w:tr2bl w:val="nil"/>
            </w:tcBorders>
            <w:noWrap w:val="0"/>
            <w:vAlign w:val="center"/>
          </w:tcPr>
          <w:p w14:paraId="775D7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pct"/>
            <w:vMerge w:val="continue"/>
            <w:tcBorders>
              <w:tl2br w:val="nil"/>
              <w:tr2bl w:val="nil"/>
            </w:tcBorders>
            <w:noWrap w:val="0"/>
            <w:vAlign w:val="center"/>
          </w:tcPr>
          <w:p w14:paraId="5A0BB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082" w:type="pct"/>
            <w:tcBorders>
              <w:tl2br w:val="nil"/>
              <w:tr2bl w:val="nil"/>
            </w:tcBorders>
            <w:noWrap w:val="0"/>
            <w:vAlign w:val="center"/>
          </w:tcPr>
          <w:p w14:paraId="6CEC2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399" w:type="pct"/>
            <w:gridSpan w:val="2"/>
            <w:tcBorders>
              <w:tl2br w:val="nil"/>
              <w:tr2bl w:val="nil"/>
            </w:tcBorders>
            <w:noWrap w:val="0"/>
            <w:vAlign w:val="center"/>
          </w:tcPr>
          <w:p w14:paraId="318D1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500" w:type="pct"/>
            <w:gridSpan w:val="2"/>
            <w:tcBorders>
              <w:tl2br w:val="nil"/>
              <w:tr2bl w:val="nil"/>
            </w:tcBorders>
            <w:noWrap w:val="0"/>
            <w:vAlign w:val="center"/>
          </w:tcPr>
          <w:p w14:paraId="685D7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16" w:type="pct"/>
            <w:tcBorders>
              <w:tl2br w:val="nil"/>
              <w:tr2bl w:val="nil"/>
            </w:tcBorders>
            <w:noWrap w:val="0"/>
            <w:vAlign w:val="center"/>
          </w:tcPr>
          <w:p w14:paraId="333CE8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《统一社会信用代码营业执照》副本或组织机构代码证</w:t>
            </w:r>
            <w:r>
              <w:rPr>
                <w:rFonts w:hint="eastAsia" w:ascii="Times New Roman" w:hAnsi="Times New Roman" w:eastAsia="宋体" w:cs="仿宋"/>
                <w:b w:val="0"/>
                <w:bCs/>
                <w:sz w:val="21"/>
                <w:szCs w:val="21"/>
                <w:highlight w:val="none"/>
                <w:lang w:val="en-US" w:eastAsia="zh-CN"/>
              </w:rPr>
              <w:sym w:font="Wingdings" w:char="00A8"/>
            </w:r>
          </w:p>
          <w:p w14:paraId="3DC096D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法定代表人身份证明书（格式自拟）</w:t>
            </w:r>
            <w:r>
              <w:rPr>
                <w:rFonts w:hint="eastAsia" w:ascii="Times New Roman" w:hAnsi="Times New Roman" w:eastAsia="宋体" w:cs="仿宋"/>
                <w:b w:val="0"/>
                <w:bCs/>
                <w:sz w:val="21"/>
                <w:szCs w:val="21"/>
                <w:highlight w:val="none"/>
                <w:lang w:val="en-US" w:eastAsia="zh-CN"/>
              </w:rPr>
              <w:sym w:font="Wingdings" w:char="00A8"/>
            </w:r>
          </w:p>
          <w:p w14:paraId="149C480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法定代表人授权委托书（格式自拟）</w:t>
            </w:r>
            <w:r>
              <w:rPr>
                <w:rFonts w:hint="eastAsia" w:ascii="Times New Roman" w:hAnsi="Times New Roman" w:eastAsia="宋体" w:cs="仿宋"/>
                <w:b w:val="0"/>
                <w:bCs/>
                <w:sz w:val="21"/>
                <w:szCs w:val="21"/>
                <w:highlight w:val="none"/>
                <w:lang w:val="en-US" w:eastAsia="zh-CN"/>
              </w:rPr>
              <w:sym w:font="Wingdings" w:char="00A8"/>
            </w:r>
          </w:p>
          <w:p w14:paraId="37BF235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三级甲等医院资质证明</w:t>
            </w:r>
            <w:r>
              <w:rPr>
                <w:rFonts w:hint="eastAsia" w:ascii="Times New Roman" w:hAnsi="Times New Roman" w:eastAsia="宋体"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备注</w:t>
            </w:r>
          </w:p>
        </w:tc>
        <w:tc>
          <w:tcPr>
            <w:tcW w:w="3983" w:type="pct"/>
            <w:gridSpan w:val="5"/>
            <w:tcBorders>
              <w:tl2br w:val="nil"/>
              <w:tr2bl w:val="nil"/>
            </w:tcBorders>
            <w:noWrap w:val="0"/>
            <w:vAlign w:val="bottom"/>
          </w:tcPr>
          <w:p w14:paraId="3016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p w14:paraId="2E97D5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_GB2312" w:cs="仿宋"/>
          <w:bCs/>
          <w:sz w:val="22"/>
          <w:szCs w:val="22"/>
          <w:highlight w:val="none"/>
          <w:lang w:val="en-US" w:eastAsia="zh-CN"/>
        </w:rPr>
      </w:pPr>
      <w:r>
        <w:rPr>
          <w:rFonts w:hint="eastAsia" w:ascii="Times New Roman" w:hAnsi="Times New Roman" w:eastAsia="仿宋_GB2312"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2025年8月21日12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7BE98F49">
      <w:pPr>
        <w:rPr>
          <w:rFonts w:hint="eastAsia"/>
          <w:b/>
          <w:bCs w:val="0"/>
          <w:highlight w:val="none"/>
        </w:rPr>
      </w:pPr>
    </w:p>
    <w:p w14:paraId="22F9AFCA">
      <w:pPr>
        <w:rPr>
          <w:rFonts w:hint="eastAsia"/>
          <w:b/>
          <w:bCs w:val="0"/>
          <w:highlight w:val="none"/>
        </w:rPr>
      </w:pPr>
    </w:p>
    <w:p w14:paraId="2ED8A364">
      <w:pPr>
        <w:rPr>
          <w:rFonts w:hint="eastAsia"/>
          <w:b/>
          <w:bCs w:val="0"/>
          <w:highlight w:val="none"/>
        </w:rPr>
      </w:pPr>
    </w:p>
    <w:p w14:paraId="49BF3155">
      <w:pPr>
        <w:rPr>
          <w:rFonts w:hint="eastAsia"/>
          <w:b/>
          <w:bCs w:val="0"/>
          <w:highlight w:val="none"/>
        </w:rPr>
      </w:pPr>
    </w:p>
    <w:p w14:paraId="19F2A49A">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5" w:name="_Toc30095"/>
      <w:bookmarkStart w:id="16" w:name="第二部分"/>
      <w:r>
        <w:rPr>
          <w:rFonts w:hint="eastAsia" w:ascii="黑体" w:hAnsi="黑体" w:cs="黑体"/>
          <w:b w:val="0"/>
          <w:bCs/>
          <w:sz w:val="32"/>
          <w:szCs w:val="32"/>
          <w:highlight w:val="none"/>
          <w:lang w:val="en-US" w:eastAsia="zh-CN"/>
        </w:rPr>
        <w:t>第二部分 招标文件</w:t>
      </w:r>
      <w:bookmarkEnd w:id="15"/>
    </w:p>
    <w:bookmarkEnd w:id="16"/>
    <w:p w14:paraId="2D4B379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7" w:name="_Toc14060"/>
      <w:r>
        <w:rPr>
          <w:rFonts w:hint="eastAsia" w:ascii="黑体" w:hAnsi="黑体" w:eastAsia="黑体" w:cs="黑体"/>
          <w:b w:val="0"/>
          <w:bCs/>
          <w:sz w:val="32"/>
          <w:szCs w:val="32"/>
          <w:highlight w:val="none"/>
        </w:rPr>
        <w:t>第一章 项目概况</w:t>
      </w:r>
      <w:bookmarkEnd w:id="3"/>
      <w:r>
        <w:rPr>
          <w:rFonts w:hint="eastAsia" w:ascii="黑体" w:hAnsi="黑体" w:cs="黑体"/>
          <w:b w:val="0"/>
          <w:bCs/>
          <w:sz w:val="32"/>
          <w:szCs w:val="32"/>
          <w:highlight w:val="none"/>
          <w:lang w:val="en-US" w:eastAsia="zh-CN"/>
        </w:rPr>
        <w:t>及招标程序</w:t>
      </w:r>
      <w:bookmarkEnd w:id="17"/>
    </w:p>
    <w:p w14:paraId="4D306F8F">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8" w:name="_Toc2260"/>
      <w:r>
        <w:rPr>
          <w:rFonts w:hint="eastAsia" w:ascii="黑体" w:hAnsi="黑体" w:eastAsia="黑体" w:cs="黑体"/>
          <w:b w:val="0"/>
          <w:bCs/>
          <w:sz w:val="32"/>
          <w:szCs w:val="32"/>
          <w:highlight w:val="none"/>
          <w:lang w:val="zh-CN"/>
        </w:rPr>
        <w:t>一、项目名称</w:t>
      </w:r>
      <w:bookmarkEnd w:id="18"/>
    </w:p>
    <w:p w14:paraId="7A30417D">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eastAsia"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rPr>
        <w:t>深圳市鹏劳人力资源管理有限公司</w:t>
      </w:r>
      <w:r>
        <w:rPr>
          <w:rFonts w:hint="eastAsia" w:ascii="Times New Roman" w:hAnsi="Times New Roman" w:eastAsia="仿宋_GB2312" w:cs="仿宋"/>
          <w:b w:val="0"/>
          <w:bCs/>
          <w:kern w:val="2"/>
          <w:sz w:val="32"/>
          <w:szCs w:val="32"/>
          <w:highlight w:val="none"/>
          <w:lang w:val="en-US" w:eastAsia="zh-CN"/>
        </w:rPr>
        <w:t>2025年度</w:t>
      </w:r>
      <w:r>
        <w:rPr>
          <w:rFonts w:hint="eastAsia" w:ascii="Times New Roman" w:hAnsi="Times New Roman" w:eastAsia="仿宋_GB2312" w:cs="仿宋"/>
          <w:b w:val="0"/>
          <w:bCs/>
          <w:kern w:val="2"/>
          <w:sz w:val="32"/>
          <w:szCs w:val="32"/>
          <w:highlight w:val="none"/>
          <w:lang w:val="zh-CN"/>
        </w:rPr>
        <w:t>员工</w:t>
      </w:r>
      <w:r>
        <w:rPr>
          <w:rFonts w:hint="eastAsia" w:ascii="Times New Roman" w:hAnsi="Times New Roman" w:eastAsia="仿宋_GB2312" w:cs="仿宋"/>
          <w:b w:val="0"/>
          <w:bCs/>
          <w:kern w:val="2"/>
          <w:sz w:val="32"/>
          <w:szCs w:val="32"/>
          <w:highlight w:val="none"/>
          <w:lang w:val="en-US" w:eastAsia="zh-CN"/>
        </w:rPr>
        <w:t>健康</w:t>
      </w:r>
      <w:r>
        <w:rPr>
          <w:rFonts w:hint="eastAsia" w:ascii="Times New Roman" w:hAnsi="Times New Roman" w:eastAsia="仿宋_GB2312" w:cs="仿宋"/>
          <w:b w:val="0"/>
          <w:bCs/>
          <w:kern w:val="2"/>
          <w:sz w:val="32"/>
          <w:szCs w:val="32"/>
          <w:highlight w:val="none"/>
          <w:lang w:val="zh-CN"/>
        </w:rPr>
        <w:t>体检</w:t>
      </w:r>
      <w:r>
        <w:rPr>
          <w:rFonts w:hint="eastAsia" w:ascii="Times New Roman" w:hAnsi="Times New Roman" w:eastAsia="仿宋_GB2312" w:cs="仿宋"/>
          <w:b w:val="0"/>
          <w:bCs/>
          <w:kern w:val="2"/>
          <w:sz w:val="32"/>
          <w:szCs w:val="32"/>
          <w:highlight w:val="none"/>
          <w:lang w:val="en-US" w:eastAsia="zh-CN"/>
        </w:rPr>
        <w:t>项目</w:t>
      </w:r>
    </w:p>
    <w:p w14:paraId="40A92D22">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9" w:name="_Toc26069"/>
      <w:r>
        <w:rPr>
          <w:rFonts w:hint="eastAsia" w:ascii="黑体" w:hAnsi="黑体" w:eastAsia="黑体" w:cs="黑体"/>
          <w:b w:val="0"/>
          <w:bCs/>
          <w:sz w:val="32"/>
          <w:szCs w:val="32"/>
          <w:highlight w:val="none"/>
          <w:lang w:val="zh-CN"/>
        </w:rPr>
        <w:t>二、招标编号</w:t>
      </w:r>
      <w:bookmarkEnd w:id="19"/>
    </w:p>
    <w:p w14:paraId="22B9A284">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eastAsia"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eastAsia="zh-CN"/>
        </w:rPr>
        <w:t>PLHR-ZB-FW-202506</w:t>
      </w:r>
    </w:p>
    <w:p w14:paraId="3D6F8BE3">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rPr>
      </w:pPr>
      <w:bookmarkStart w:id="20" w:name="_Toc22682"/>
      <w:r>
        <w:rPr>
          <w:rFonts w:hint="eastAsia" w:ascii="黑体" w:hAnsi="黑体" w:eastAsia="黑体" w:cs="黑体"/>
          <w:b w:val="0"/>
          <w:bCs/>
          <w:sz w:val="32"/>
          <w:szCs w:val="32"/>
          <w:highlight w:val="none"/>
        </w:rPr>
        <w:t>三、投标人资质要求</w:t>
      </w:r>
      <w:bookmarkEnd w:id="20"/>
    </w:p>
    <w:p w14:paraId="4C7909E7">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（一）投标人应为国内合法合规注册，具备独立法人资格，且根据国家《医院分级管理办法》评级达到三级甲等的医院</w:t>
      </w:r>
      <w:r>
        <w:rPr>
          <w:rFonts w:hint="eastAsia" w:ascii="Times New Roman" w:hAnsi="Times New Roman" w:eastAsia="仿宋_GB2312" w:cs="仿宋"/>
          <w:b w:val="0"/>
          <w:bCs/>
          <w:kern w:val="2"/>
          <w:sz w:val="32"/>
          <w:szCs w:val="32"/>
          <w:highlight w:val="none"/>
          <w:lang w:val="en-US" w:eastAsia="zh-CN"/>
        </w:rPr>
        <w:t>。</w:t>
      </w:r>
    </w:p>
    <w:p w14:paraId="571A8E52">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（二）投标人总部</w:t>
      </w:r>
      <w:r>
        <w:rPr>
          <w:rFonts w:hint="eastAsia" w:ascii="Times New Roman" w:hAnsi="Times New Roman" w:eastAsia="仿宋_GB2312" w:cs="仿宋"/>
          <w:b w:val="0"/>
          <w:bCs/>
          <w:kern w:val="2"/>
          <w:sz w:val="32"/>
          <w:szCs w:val="32"/>
          <w:highlight w:val="none"/>
          <w:lang w:val="en-US" w:eastAsia="zh-CN"/>
        </w:rPr>
        <w:t>或分支机构</w:t>
      </w:r>
      <w:r>
        <w:rPr>
          <w:rFonts w:hint="default" w:ascii="Times New Roman" w:hAnsi="Times New Roman" w:eastAsia="仿宋_GB2312" w:cs="仿宋"/>
          <w:b w:val="0"/>
          <w:bCs/>
          <w:kern w:val="2"/>
          <w:sz w:val="32"/>
          <w:szCs w:val="32"/>
          <w:highlight w:val="none"/>
          <w:lang w:val="en-US" w:eastAsia="zh-CN"/>
        </w:rPr>
        <w:t>设立具备公众体检服务接待能力</w:t>
      </w:r>
      <w:r>
        <w:rPr>
          <w:rFonts w:hint="eastAsia" w:ascii="Times New Roman" w:hAnsi="Times New Roman" w:eastAsia="仿宋_GB2312" w:cs="仿宋"/>
          <w:b w:val="0"/>
          <w:bCs/>
          <w:kern w:val="2"/>
          <w:sz w:val="32"/>
          <w:szCs w:val="32"/>
          <w:highlight w:val="none"/>
          <w:lang w:val="en-US" w:eastAsia="zh-CN"/>
        </w:rPr>
        <w:t>。</w:t>
      </w:r>
    </w:p>
    <w:p w14:paraId="4FA87666">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（三）投标人具有完全响应本项目服务提供需求的能力，能独立承担本招标文件所示民事等法律责任和合同义务。</w:t>
      </w:r>
    </w:p>
    <w:p w14:paraId="3FB51AD8">
      <w:pPr>
        <w:pStyle w:val="8"/>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（四）</w:t>
      </w:r>
      <w:r>
        <w:rPr>
          <w:rFonts w:hint="eastAsia" w:ascii="Times New Roman" w:hAnsi="Times New Roman" w:eastAsia="仿宋_GB2312" w:cs="仿宋"/>
          <w:b w:val="0"/>
          <w:bCs/>
          <w:kern w:val="2"/>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 w:val="0"/>
          <w:bCs/>
          <w:kern w:val="2"/>
          <w:sz w:val="32"/>
          <w:szCs w:val="32"/>
          <w:highlight w:val="none"/>
          <w:lang w:val="en-US" w:eastAsia="zh-CN"/>
        </w:rPr>
        <w:fldChar w:fldCharType="begin"/>
      </w:r>
      <w:r>
        <w:rPr>
          <w:rFonts w:hint="eastAsia" w:ascii="Times New Roman" w:hAnsi="Times New Roman" w:eastAsia="仿宋_GB2312" w:cs="仿宋"/>
          <w:b w:val="0"/>
          <w:bCs/>
          <w:kern w:val="2"/>
          <w:sz w:val="32"/>
          <w:szCs w:val="32"/>
          <w:highlight w:val="none"/>
          <w:lang w:val="en-US" w:eastAsia="zh-CN"/>
        </w:rPr>
        <w:instrText xml:space="preserve"> HYPERLINK "https://wenshu.court.gov.cn/" </w:instrText>
      </w:r>
      <w:r>
        <w:rPr>
          <w:rFonts w:hint="eastAsia" w:ascii="Times New Roman" w:hAnsi="Times New Roman" w:eastAsia="仿宋_GB2312" w:cs="仿宋"/>
          <w:b w:val="0"/>
          <w:bCs/>
          <w:kern w:val="2"/>
          <w:sz w:val="32"/>
          <w:szCs w:val="32"/>
          <w:highlight w:val="none"/>
          <w:lang w:val="en-US" w:eastAsia="zh-CN"/>
        </w:rPr>
        <w:fldChar w:fldCharType="separate"/>
      </w:r>
      <w:r>
        <w:rPr>
          <w:rFonts w:hint="eastAsia" w:ascii="Times New Roman" w:hAnsi="Times New Roman" w:eastAsia="仿宋_GB2312" w:cs="仿宋"/>
          <w:b w:val="0"/>
          <w:bCs/>
          <w:kern w:val="2"/>
          <w:sz w:val="32"/>
          <w:szCs w:val="32"/>
          <w:highlight w:val="none"/>
          <w:lang w:val="en-US" w:eastAsia="zh-CN"/>
        </w:rPr>
        <w:t>中国裁判文书网（wenshu.court.gov.cn）</w:t>
      </w:r>
      <w:r>
        <w:rPr>
          <w:rFonts w:hint="eastAsia" w:ascii="Times New Roman" w:hAnsi="Times New Roman" w:eastAsia="仿宋_GB2312" w:cs="仿宋"/>
          <w:b w:val="0"/>
          <w:bCs/>
          <w:kern w:val="2"/>
          <w:sz w:val="32"/>
          <w:szCs w:val="32"/>
          <w:highlight w:val="none"/>
          <w:lang w:val="en-US" w:eastAsia="zh-CN"/>
        </w:rPr>
        <w:fldChar w:fldCharType="end"/>
      </w:r>
      <w:r>
        <w:rPr>
          <w:rFonts w:hint="eastAsia" w:ascii="Times New Roman" w:hAnsi="Times New Roman" w:eastAsia="仿宋_GB2312" w:cs="仿宋"/>
          <w:b w:val="0"/>
          <w:bCs/>
          <w:kern w:val="2"/>
          <w:sz w:val="32"/>
          <w:szCs w:val="32"/>
          <w:highlight w:val="none"/>
          <w:lang w:val="en-US" w:eastAsia="zh-CN"/>
        </w:rPr>
        <w:t>等渠道列入失信被执行人、重大税收违法案件当事人名单、政府采购严重违法失信行为记录名单、网络行贿行为记录的情况。</w:t>
      </w:r>
    </w:p>
    <w:p w14:paraId="7A9983B8">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（五）</w:t>
      </w:r>
      <w:r>
        <w:rPr>
          <w:rFonts w:hint="eastAsia" w:ascii="Times New Roman" w:hAnsi="Times New Roman" w:eastAsia="仿宋_GB2312" w:cs="仿宋"/>
          <w:b w:val="0"/>
          <w:bCs/>
          <w:kern w:val="2"/>
          <w:sz w:val="32"/>
          <w:szCs w:val="32"/>
          <w:highlight w:val="none"/>
          <w:lang w:val="en-US" w:eastAsia="zh-CN"/>
        </w:rPr>
        <w:t>投标人如为与招标人既往合作的供应商，需满足招标人关于供应商的管理规定，且2022年1月1日至本项目确定成交人之日前投标人无重大事故、服务投诉或质量不符合记录。</w:t>
      </w:r>
    </w:p>
    <w:p w14:paraId="362C585E">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（六）</w:t>
      </w:r>
      <w:r>
        <w:rPr>
          <w:rFonts w:hint="eastAsia" w:ascii="Times New Roman" w:hAnsi="Times New Roman" w:eastAsia="仿宋_GB2312" w:cs="仿宋"/>
          <w:b w:val="0"/>
          <w:bCs/>
          <w:kern w:val="2"/>
          <w:sz w:val="32"/>
          <w:szCs w:val="32"/>
          <w:highlight w:val="none"/>
          <w:lang w:val="en-US" w:eastAsia="zh-CN"/>
        </w:rPr>
        <w:t>标人能够开具符合国家法律法规规定、符合国有企业财务管理及审计合规要求的增值税发票，如所提供的产品或服务税率不同，须按照相应税率分别开具发票。</w:t>
      </w:r>
    </w:p>
    <w:p w14:paraId="2AD54FAC">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EFEF508">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1" w:name="_Toc7457"/>
      <w:r>
        <w:rPr>
          <w:rFonts w:hint="eastAsia" w:ascii="黑体" w:hAnsi="黑体" w:eastAsia="黑体" w:cs="黑体"/>
          <w:b w:val="0"/>
          <w:bCs/>
          <w:sz w:val="32"/>
          <w:szCs w:val="32"/>
          <w:highlight w:val="none"/>
          <w:lang w:val="zh-CN"/>
        </w:rPr>
        <w:t>四、项目内容、服务需求及期限</w:t>
      </w:r>
      <w:bookmarkEnd w:id="21"/>
    </w:p>
    <w:p w14:paraId="5AA8129D">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bookmarkStart w:id="22" w:name="_Toc15949_WPSOffice_Level2"/>
      <w:r>
        <w:rPr>
          <w:rFonts w:hint="eastAsia" w:ascii="楷体_GB2312" w:hAnsi="楷体_GB2312" w:eastAsia="楷体_GB2312" w:cs="楷体_GB2312"/>
          <w:b w:val="0"/>
          <w:bCs/>
          <w:sz w:val="32"/>
          <w:szCs w:val="32"/>
          <w:highlight w:val="none"/>
        </w:rPr>
        <w:t>（一）项目内容</w:t>
      </w:r>
      <w:bookmarkEnd w:id="22"/>
    </w:p>
    <w:p w14:paraId="5D9A0B48">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为招标人指定员工在招标人指定时间内提供健康体检服务，出具体检报告及健康管理建议。</w:t>
      </w:r>
    </w:p>
    <w:p w14:paraId="7CBF9BB6">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rPr>
        <w:t>项目需求</w:t>
      </w:r>
    </w:p>
    <w:p w14:paraId="41E65760">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投标人应为招标人员工提供便利的线上、线下体检预约渠道，同时设置合理体检服务期限，在招标人员工集中预约的体检高峰期内预留企业专用通道，同时为逾期未能参加综合专场体检服务的员工提供灵活、机动、合理的体检服务补检。</w:t>
      </w:r>
    </w:p>
    <w:p w14:paraId="7417D99B">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.投标人应为招标人员工提供至少包含以下内容的随附服务：</w:t>
      </w:r>
    </w:p>
    <w:p w14:paraId="1188164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（1）个人纸质及电子版体检报告以及基于体检结果的个人健康咨询解读。</w:t>
      </w:r>
    </w:p>
    <w:p w14:paraId="7B42765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（2）体检当日营养早餐。</w:t>
      </w:r>
    </w:p>
    <w:p w14:paraId="084FF8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（3）疑似肿瘤、癌症，重度心血管疾病，血液、血压、尿酸指标中度以上异常重大阳性结果或复查提示通知。</w:t>
      </w:r>
    </w:p>
    <w:p w14:paraId="57121C46">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3.投标人应为招标人提供员工团体体检汇总报告。</w:t>
      </w:r>
    </w:p>
    <w:p w14:paraId="5F234F32">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4.在满足以上服务需求的同时，投标人需根据招标文件所示限价情况，根据招标公告</w:t>
      </w:r>
      <w:r>
        <w:rPr>
          <w:rFonts w:hint="eastAsia" w:ascii="Times New Roman" w:hAnsi="Times New Roman" w:eastAsia="仿宋_GB2312" w:cs="仿宋_GB2312"/>
          <w:b w:val="0"/>
          <w:bCs/>
          <w:sz w:val="32"/>
          <w:szCs w:val="32"/>
          <w:highlight w:val="none"/>
          <w:lang w:val="en-US" w:eastAsia="zh-CN"/>
        </w:rPr>
        <w:t xml:space="preserve"> 附件3《深圳市鹏劳人力资源管理有限公司2025年度员工健康体检项目体检方案及报价表》</w:t>
      </w:r>
      <w:r>
        <w:rPr>
          <w:rFonts w:hint="eastAsia" w:ascii="仿宋_GB2312" w:hAnsi="仿宋_GB2312" w:eastAsia="仿宋_GB2312" w:cs="仿宋_GB2312"/>
          <w:b w:val="0"/>
          <w:bCs/>
          <w:sz w:val="32"/>
          <w:szCs w:val="32"/>
          <w:highlight w:val="none"/>
          <w:lang w:val="en-US" w:eastAsia="zh-CN"/>
        </w:rPr>
        <w:t>所示体检项目基础上自行增加体检科目或提出更优方案并按该表格式出具报价，不得减少基准项目或降低标准，低于报价表所示体检标准的报价文件视为投标无效。</w:t>
      </w:r>
    </w:p>
    <w:p w14:paraId="0D4E9942">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（三）项目期限</w:t>
      </w:r>
    </w:p>
    <w:p w14:paraId="4A7BADF5">
      <w:pPr>
        <w:pageBreakBefore w:val="0"/>
        <w:widowControl/>
        <w:kinsoku/>
        <w:wordWrap/>
        <w:overflowPunct/>
        <w:topLinePunct w:val="0"/>
        <w:autoSpaceDE/>
        <w:autoSpaceDN/>
        <w:bidi w:val="0"/>
        <w:snapToGrid w:val="0"/>
        <w:spacing w:line="560" w:lineRule="exact"/>
        <w:ind w:left="0" w:leftChars="0" w:firstLine="617" w:firstLineChars="193"/>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本项目期限为订立合同之日起至招标人指定</w:t>
      </w:r>
      <w:r>
        <w:rPr>
          <w:rFonts w:hint="eastAsia" w:ascii="仿宋_GB2312" w:hAnsi="仿宋_GB2312" w:eastAsia="仿宋_GB2312" w:cs="仿宋_GB2312"/>
          <w:b w:val="0"/>
          <w:bCs/>
          <w:sz w:val="32"/>
          <w:szCs w:val="32"/>
          <w:highlight w:val="none"/>
          <w:lang w:eastAsia="zh-CN"/>
        </w:rPr>
        <w:t>员工</w:t>
      </w:r>
      <w:r>
        <w:rPr>
          <w:rFonts w:hint="eastAsia" w:ascii="仿宋_GB2312" w:hAnsi="仿宋_GB2312" w:eastAsia="仿宋_GB2312" w:cs="仿宋_GB2312"/>
          <w:b w:val="0"/>
          <w:bCs/>
          <w:sz w:val="32"/>
          <w:szCs w:val="32"/>
          <w:highlight w:val="none"/>
        </w:rPr>
        <w:t>年度</w:t>
      </w:r>
      <w:r>
        <w:rPr>
          <w:rFonts w:hint="eastAsia" w:ascii="仿宋_GB2312" w:hAnsi="仿宋_GB2312" w:eastAsia="仿宋_GB2312" w:cs="仿宋_GB2312"/>
          <w:b w:val="0"/>
          <w:bCs/>
          <w:sz w:val="32"/>
          <w:szCs w:val="32"/>
          <w:highlight w:val="none"/>
          <w:lang w:eastAsia="zh-CN"/>
        </w:rPr>
        <w:t>健康</w:t>
      </w:r>
      <w:r>
        <w:rPr>
          <w:rFonts w:hint="eastAsia" w:ascii="仿宋_GB2312" w:hAnsi="仿宋_GB2312" w:eastAsia="仿宋_GB2312" w:cs="仿宋_GB2312"/>
          <w:b w:val="0"/>
          <w:bCs/>
          <w:sz w:val="32"/>
          <w:szCs w:val="32"/>
          <w:highlight w:val="none"/>
        </w:rPr>
        <w:t>体检全部完成</w:t>
      </w:r>
      <w:r>
        <w:rPr>
          <w:rFonts w:hint="eastAsia" w:ascii="仿宋_GB2312" w:hAnsi="仿宋_GB2312" w:eastAsia="仿宋_GB2312" w:cs="仿宋_GB2312"/>
          <w:b w:val="0"/>
          <w:bCs/>
          <w:sz w:val="32"/>
          <w:szCs w:val="32"/>
          <w:highlight w:val="none"/>
          <w:lang w:eastAsia="zh-CN"/>
        </w:rPr>
        <w:t>，招标人员工自行放弃体检的情况除外。</w:t>
      </w:r>
    </w:p>
    <w:p w14:paraId="39E64AAE">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eastAsia="zh-CN"/>
        </w:rPr>
      </w:pPr>
      <w:bookmarkStart w:id="23" w:name="_Toc2681"/>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23"/>
    </w:p>
    <w:p w14:paraId="41BF45C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仿宋_GB2312" w:hAnsi="仿宋_GB2312" w:eastAsia="仿宋_GB2312" w:cs="仿宋_GB2312"/>
          <w:b w:val="0"/>
          <w:bCs/>
          <w:sz w:val="32"/>
          <w:szCs w:val="32"/>
          <w:highlight w:val="none"/>
        </w:rPr>
        <w:t>1.本</w:t>
      </w:r>
      <w:r>
        <w:rPr>
          <w:rFonts w:hint="eastAsia" w:ascii="Times New Roman" w:hAnsi="Times New Roman" w:eastAsia="仿宋_GB2312" w:cs="仿宋"/>
          <w:b w:val="0"/>
          <w:bCs/>
          <w:sz w:val="32"/>
          <w:szCs w:val="32"/>
          <w:highlight w:val="none"/>
        </w:rPr>
        <w:t>项目总限价为人民币</w:t>
      </w:r>
      <w:r>
        <w:rPr>
          <w:rFonts w:hint="eastAsia" w:ascii="Times New Roman" w:hAnsi="Times New Roman" w:eastAsia="仿宋_GB2312" w:cs="仿宋"/>
          <w:b w:val="0"/>
          <w:bCs/>
          <w:sz w:val="32"/>
          <w:szCs w:val="32"/>
          <w:highlight w:val="none"/>
          <w:lang w:val="en-US" w:eastAsia="zh-CN"/>
        </w:rPr>
        <w:t>377500</w:t>
      </w:r>
      <w:r>
        <w:rPr>
          <w:rFonts w:hint="eastAsia" w:ascii="Times New Roman" w:hAnsi="Times New Roman" w:eastAsia="仿宋_GB2312" w:cs="仿宋"/>
          <w:b w:val="0"/>
          <w:bCs/>
          <w:sz w:val="32"/>
          <w:szCs w:val="32"/>
          <w:highlight w:val="none"/>
        </w:rPr>
        <w:t>元</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含增值税）</w:t>
      </w:r>
      <w:r>
        <w:rPr>
          <w:rFonts w:hint="eastAsia" w:ascii="Times New Roman" w:hAnsi="Times New Roman" w:eastAsia="仿宋_GB2312" w:cs="仿宋"/>
          <w:b w:val="0"/>
          <w:bCs/>
          <w:sz w:val="32"/>
          <w:szCs w:val="32"/>
          <w:highlight w:val="none"/>
          <w:lang w:eastAsia="zh-CN"/>
        </w:rPr>
        <w:t>。</w:t>
      </w:r>
    </w:p>
    <w:p w14:paraId="0C6E5C0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2.本项目预估体检人数约为</w:t>
      </w:r>
      <w:r>
        <w:rPr>
          <w:rFonts w:hint="eastAsia" w:ascii="Times New Roman" w:hAnsi="Times New Roman" w:eastAsia="仿宋_GB2312" w:cs="仿宋"/>
          <w:b w:val="0"/>
          <w:bCs/>
          <w:sz w:val="32"/>
          <w:szCs w:val="32"/>
          <w:highlight w:val="none"/>
          <w:lang w:val="en-US" w:eastAsia="zh-CN"/>
        </w:rPr>
        <w:t>146人</w:t>
      </w:r>
      <w:r>
        <w:rPr>
          <w:rFonts w:hint="eastAsia" w:ascii="仿宋_GB2312" w:hAnsi="仿宋_GB2312" w:eastAsia="仿宋_GB2312" w:cs="仿宋_GB2312"/>
          <w:b w:val="0"/>
          <w:bCs/>
          <w:sz w:val="32"/>
          <w:szCs w:val="32"/>
          <w:highlight w:val="none"/>
          <w:lang w:val="en-US" w:eastAsia="zh-CN"/>
        </w:rPr>
        <w:t>，该数据仅作为投标人投标的参照</w:t>
      </w:r>
      <w:r>
        <w:rPr>
          <w:rFonts w:hint="eastAsia" w:ascii="Times New Roman" w:hAnsi="Times New Roman" w:eastAsia="仿宋_GB2312" w:cs="仿宋"/>
          <w:b w:val="0"/>
          <w:bCs/>
          <w:sz w:val="32"/>
          <w:szCs w:val="32"/>
          <w:highlight w:val="none"/>
          <w:lang w:val="en-US" w:eastAsia="zh-CN"/>
        </w:rPr>
        <w:t>因素，不作为招标人对中标人的合同承诺，实际到检人数根据投标人员工个人意愿、身体状况及其他客观因素影响可能存在变化。</w:t>
      </w:r>
    </w:p>
    <w:p w14:paraId="522B89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仿宋"/>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r>
        <w:rPr>
          <w:rFonts w:hint="eastAsia" w:ascii="Times New Roman" w:hAnsi="Times New Roman" w:eastAsia="仿宋_GB2312" w:cs="仿宋"/>
          <w:b w:val="0"/>
          <w:bCs/>
          <w:sz w:val="32"/>
          <w:szCs w:val="32"/>
          <w:highlight w:val="none"/>
          <w:lang w:val="en-US" w:eastAsia="zh-CN"/>
        </w:rPr>
        <w:t>本项目按照实际参加体检人员实际选择实施的体检项目据实收费，对本项目的响应视同投标人对本需求做出承诺。</w:t>
      </w:r>
    </w:p>
    <w:p w14:paraId="3D6CDE3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投标人应于报价文件中明确列示各</w:t>
      </w:r>
      <w:r>
        <w:rPr>
          <w:rFonts w:hint="eastAsia" w:ascii="Times New Roman" w:hAnsi="Times New Roman" w:eastAsia="仿宋_GB2312" w:cs="仿宋"/>
          <w:b w:val="0"/>
          <w:bCs/>
          <w:sz w:val="32"/>
          <w:szCs w:val="32"/>
          <w:highlight w:val="none"/>
          <w:lang w:eastAsia="zh-CN"/>
        </w:rPr>
        <w:t>体检项目</w:t>
      </w:r>
      <w:r>
        <w:rPr>
          <w:rFonts w:hint="eastAsia" w:ascii="Times New Roman" w:hAnsi="Times New Roman" w:eastAsia="仿宋_GB2312" w:cs="仿宋"/>
          <w:b w:val="0"/>
          <w:bCs/>
          <w:sz w:val="32"/>
          <w:szCs w:val="32"/>
          <w:highlight w:val="none"/>
        </w:rPr>
        <w:t>单价</w:t>
      </w:r>
      <w:r>
        <w:rPr>
          <w:rFonts w:hint="eastAsia" w:ascii="Times New Roman" w:hAnsi="Times New Roman" w:eastAsia="仿宋_GB2312" w:cs="仿宋"/>
          <w:b w:val="0"/>
          <w:bCs/>
          <w:sz w:val="32"/>
          <w:szCs w:val="32"/>
          <w:highlight w:val="none"/>
          <w:lang w:eastAsia="zh-CN"/>
        </w:rPr>
        <w:t>，并根据预估人数计算得出</w:t>
      </w:r>
      <w:r>
        <w:rPr>
          <w:rFonts w:hint="eastAsia" w:ascii="Times New Roman" w:hAnsi="Times New Roman" w:eastAsia="仿宋_GB2312" w:cs="仿宋"/>
          <w:b w:val="0"/>
          <w:bCs/>
          <w:sz w:val="32"/>
          <w:szCs w:val="32"/>
          <w:highlight w:val="none"/>
        </w:rPr>
        <w:t>项目总价，总价超出</w:t>
      </w:r>
      <w:r>
        <w:rPr>
          <w:rFonts w:hint="eastAsia" w:ascii="Times New Roman" w:hAnsi="Times New Roman" w:eastAsia="仿宋_GB2312" w:cs="仿宋"/>
          <w:b w:val="0"/>
          <w:bCs/>
          <w:sz w:val="32"/>
          <w:szCs w:val="32"/>
          <w:highlight w:val="none"/>
          <w:lang w:eastAsia="zh-CN"/>
        </w:rPr>
        <w:t>项目总限价金额将导致投标无效</w:t>
      </w:r>
      <w:r>
        <w:rPr>
          <w:rFonts w:hint="eastAsia" w:ascii="Times New Roman" w:hAnsi="Times New Roman" w:eastAsia="仿宋_GB2312" w:cs="仿宋"/>
          <w:b w:val="0"/>
          <w:bCs/>
          <w:sz w:val="32"/>
          <w:szCs w:val="32"/>
          <w:highlight w:val="none"/>
        </w:rPr>
        <w:t>。</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rPr>
          <w:rFonts w:hint="eastAsia" w:ascii="黑体" w:hAnsi="黑体" w:eastAsia="黑体" w:cs="黑体"/>
          <w:b w:val="0"/>
          <w:bCs/>
          <w:sz w:val="32"/>
          <w:szCs w:val="32"/>
          <w:highlight w:val="none"/>
        </w:rPr>
      </w:pPr>
      <w:bookmarkStart w:id="24" w:name="_Toc7508"/>
      <w:r>
        <w:rPr>
          <w:rFonts w:hint="eastAsia" w:ascii="黑体" w:hAnsi="黑体" w:eastAsia="黑体" w:cs="黑体"/>
          <w:b w:val="0"/>
          <w:bCs/>
          <w:sz w:val="32"/>
          <w:szCs w:val="32"/>
          <w:highlight w:val="none"/>
        </w:rPr>
        <w:t>六、投标文件要求</w:t>
      </w:r>
      <w:bookmarkEnd w:id="24"/>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（一）投标文件构成</w:t>
      </w:r>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1.唱标信封及开标一览表</w:t>
      </w:r>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用以密封开标一览表，信封格式见“招标文件 第四章 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用唱标信封单独封装，与投标文件一并递交，一览表指定格式见“第四章 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2.投标文件</w:t>
      </w:r>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投标人资质证明文件应按以下顺序排序：</w:t>
      </w:r>
    </w:p>
    <w:p w14:paraId="5563BA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事业单位法人证书</w:t>
      </w:r>
      <w:r>
        <w:rPr>
          <w:rFonts w:hint="eastAsia" w:ascii="仿宋_GB2312" w:hAnsi="仿宋_GB2312" w:eastAsia="仿宋_GB2312" w:cs="仿宋_GB2312"/>
          <w:b w:val="0"/>
          <w:bCs/>
          <w:sz w:val="32"/>
          <w:szCs w:val="32"/>
          <w:highlight w:val="none"/>
        </w:rPr>
        <w:t>（加盖公章）</w:t>
      </w:r>
    </w:p>
    <w:p w14:paraId="705890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中华人民共和国医疗经营许可证</w:t>
      </w:r>
    </w:p>
    <w:p w14:paraId="61CF69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三级甲等医院资质证明</w:t>
      </w:r>
    </w:p>
    <w:p w14:paraId="7AA2C5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4）法定代表人身份证明书</w:t>
      </w:r>
      <w:r>
        <w:rPr>
          <w:rFonts w:hint="eastAsia" w:ascii="仿宋_GB2312" w:hAnsi="仿宋_GB2312" w:eastAsia="仿宋_GB2312" w:cs="仿宋_GB2312"/>
          <w:b w:val="0"/>
          <w:bCs/>
          <w:sz w:val="32"/>
          <w:szCs w:val="32"/>
          <w:highlight w:val="none"/>
        </w:rPr>
        <w:t>（加盖公章）</w:t>
      </w:r>
    </w:p>
    <w:p w14:paraId="6BDE0D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法</w:t>
      </w:r>
      <w:r>
        <w:rPr>
          <w:rFonts w:hint="eastAsia" w:ascii="仿宋_GB2312" w:hAnsi="仿宋_GB2312" w:eastAsia="仿宋_GB2312" w:cs="仿宋_GB2312"/>
          <w:b w:val="0"/>
          <w:bCs/>
          <w:sz w:val="32"/>
          <w:szCs w:val="32"/>
          <w:highlight w:val="none"/>
          <w:lang w:val="en-US" w:eastAsia="zh-CN"/>
        </w:rPr>
        <w:t>定代表</w:t>
      </w:r>
      <w:r>
        <w:rPr>
          <w:rFonts w:hint="eastAsia" w:ascii="仿宋_GB2312" w:hAnsi="仿宋_GB2312" w:eastAsia="仿宋_GB2312" w:cs="仿宋_GB2312"/>
          <w:b w:val="0"/>
          <w:bCs/>
          <w:sz w:val="32"/>
          <w:szCs w:val="32"/>
          <w:highlight w:val="none"/>
        </w:rPr>
        <w:t>人授权委托书（加盖公章）</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rPr>
        <w:t>2</w:t>
      </w: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格式参见本文件“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 xml:space="preserve"> </w:t>
      </w:r>
      <w:r>
        <w:rPr>
          <w:rFonts w:hint="eastAsia" w:ascii="Times New Roman" w:hAnsi="Times New Roman" w:eastAsia="仿宋_GB2312" w:cs="仿宋"/>
          <w:b w:val="0"/>
          <w:bCs/>
          <w:sz w:val="32"/>
          <w:szCs w:val="32"/>
          <w:highlight w:val="none"/>
          <w:lang w:eastAsia="zh-CN"/>
        </w:rPr>
        <w:t>体检方案及</w:t>
      </w:r>
      <w:r>
        <w:rPr>
          <w:rFonts w:hint="eastAsia" w:ascii="Times New Roman" w:hAnsi="Times New Roman" w:eastAsia="仿宋_GB2312" w:cs="仿宋"/>
          <w:b w:val="0"/>
          <w:bCs/>
          <w:sz w:val="32"/>
          <w:szCs w:val="32"/>
          <w:highlight w:val="none"/>
        </w:rPr>
        <w:t>报价表”。</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3</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1</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评标标准及细则内要求提供的证明文件（按“</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评标程序及标准”内各评分项列示顺序排序并加盖公章）；</w:t>
      </w:r>
    </w:p>
    <w:p w14:paraId="6E1C7B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2</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服务方案</w:t>
      </w:r>
    </w:p>
    <w:p w14:paraId="05C6426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服务方案应包括以下内容：</w:t>
      </w:r>
    </w:p>
    <w:p w14:paraId="6BDDDC4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①报</w:t>
      </w:r>
      <w:r>
        <w:rPr>
          <w:rFonts w:hint="eastAsia" w:ascii="Times New Roman" w:hAnsi="Times New Roman" w:eastAsia="仿宋_GB2312" w:cs="仿宋"/>
          <w:b w:val="0"/>
          <w:bCs/>
          <w:sz w:val="32"/>
          <w:szCs w:val="32"/>
          <w:highlight w:val="none"/>
        </w:rPr>
        <w:t>价表</w:t>
      </w:r>
      <w:r>
        <w:rPr>
          <w:rFonts w:hint="eastAsia" w:ascii="Times New Roman" w:hAnsi="Times New Roman" w:eastAsia="仿宋_GB2312" w:cs="仿宋"/>
          <w:b w:val="0"/>
          <w:bCs/>
          <w:sz w:val="32"/>
          <w:szCs w:val="32"/>
          <w:highlight w:val="none"/>
          <w:lang w:eastAsia="zh-CN"/>
        </w:rPr>
        <w:t>格式</w:t>
      </w:r>
      <w:r>
        <w:rPr>
          <w:rFonts w:hint="eastAsia" w:ascii="Times New Roman" w:hAnsi="Times New Roman" w:eastAsia="仿宋_GB2312" w:cs="仿宋"/>
          <w:b w:val="0"/>
          <w:bCs/>
          <w:sz w:val="32"/>
          <w:szCs w:val="32"/>
          <w:highlight w:val="none"/>
        </w:rPr>
        <w:t>体检项目清单，格式参见“</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lang w:eastAsia="zh-CN"/>
        </w:rPr>
        <w:t>公告</w:t>
      </w:r>
      <w:r>
        <w:rPr>
          <w:rFonts w:hint="eastAsia" w:ascii="Times New Roman" w:hAnsi="Times New Roman" w:eastAsia="仿宋_GB2312" w:cs="仿宋"/>
          <w:b w:val="0"/>
          <w:bCs/>
          <w:sz w:val="32"/>
          <w:szCs w:val="32"/>
          <w:highlight w:val="none"/>
          <w:lang w:val="en-US" w:eastAsia="zh-CN"/>
        </w:rPr>
        <w:t xml:space="preserve"> </w:t>
      </w:r>
      <w:r>
        <w:rPr>
          <w:rFonts w:hint="eastAsia" w:ascii="Times New Roman" w:hAnsi="Times New Roman" w:eastAsia="仿宋_GB2312" w:cs="仿宋"/>
          <w:b w:val="0"/>
          <w:bCs/>
          <w:sz w:val="32"/>
          <w:szCs w:val="32"/>
          <w:highlight w:val="none"/>
          <w:lang w:eastAsia="zh-CN"/>
        </w:rPr>
        <w:t>附件</w:t>
      </w:r>
      <w:r>
        <w:rPr>
          <w:rFonts w:hint="eastAsia" w:ascii="Times New Roman" w:hAnsi="Times New Roman" w:eastAsia="仿宋_GB2312" w:cs="仿宋"/>
          <w:b w:val="0"/>
          <w:bCs/>
          <w:sz w:val="32"/>
          <w:szCs w:val="32"/>
          <w:highlight w:val="none"/>
          <w:lang w:val="en-US" w:eastAsia="zh-CN"/>
        </w:rPr>
        <w:t>3《深圳市鹏劳人力资源管理有限公司2025年度员工健康体检项目体检方案及报价表》”</w:t>
      </w:r>
      <w:r>
        <w:rPr>
          <w:rFonts w:hint="eastAsia" w:ascii="Times New Roman" w:hAnsi="Times New Roman" w:eastAsia="仿宋_GB2312" w:cs="仿宋"/>
          <w:b w:val="0"/>
          <w:bCs/>
          <w:sz w:val="32"/>
          <w:szCs w:val="32"/>
          <w:highlight w:val="none"/>
        </w:rPr>
        <w:t>，投标人在基准项目要求上另行增加体检</w:t>
      </w:r>
      <w:r>
        <w:rPr>
          <w:rFonts w:hint="eastAsia" w:ascii="仿宋_GB2312" w:hAnsi="仿宋_GB2312" w:eastAsia="仿宋_GB2312" w:cs="仿宋_GB2312"/>
          <w:b w:val="0"/>
          <w:bCs/>
          <w:sz w:val="32"/>
          <w:szCs w:val="32"/>
          <w:highlight w:val="none"/>
        </w:rPr>
        <w:t>项目或随附服务的，</w:t>
      </w:r>
      <w:r>
        <w:rPr>
          <w:rFonts w:hint="eastAsia" w:ascii="仿宋_GB2312" w:hAnsi="仿宋_GB2312" w:eastAsia="仿宋_GB2312" w:cs="仿宋_GB2312"/>
          <w:b w:val="0"/>
          <w:bCs/>
          <w:sz w:val="32"/>
          <w:szCs w:val="32"/>
          <w:highlight w:val="none"/>
          <w:lang w:eastAsia="zh-CN"/>
        </w:rPr>
        <w:t>表内列</w:t>
      </w:r>
      <w:r>
        <w:rPr>
          <w:rFonts w:hint="eastAsia" w:ascii="仿宋_GB2312" w:hAnsi="仿宋_GB2312" w:eastAsia="仿宋_GB2312" w:cs="仿宋_GB2312"/>
          <w:b w:val="0"/>
          <w:bCs/>
          <w:sz w:val="32"/>
          <w:szCs w:val="32"/>
          <w:highlight w:val="none"/>
        </w:rPr>
        <w:t>示说明；</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②除招标文件要求外，投标人另行承诺的</w:t>
      </w:r>
      <w:r>
        <w:rPr>
          <w:rFonts w:hint="eastAsia" w:ascii="仿宋_GB2312" w:hAnsi="仿宋_GB2312" w:eastAsia="仿宋_GB2312" w:cs="仿宋_GB2312"/>
          <w:b w:val="0"/>
          <w:bCs/>
          <w:sz w:val="32"/>
          <w:szCs w:val="32"/>
          <w:highlight w:val="none"/>
          <w:lang w:eastAsia="zh-CN"/>
        </w:rPr>
        <w:t>增值</w:t>
      </w:r>
      <w:r>
        <w:rPr>
          <w:rFonts w:hint="eastAsia" w:ascii="仿宋_GB2312" w:hAnsi="仿宋_GB2312" w:eastAsia="仿宋_GB2312" w:cs="仿宋_GB2312"/>
          <w:b w:val="0"/>
          <w:bCs/>
          <w:sz w:val="32"/>
          <w:szCs w:val="32"/>
          <w:highlight w:val="none"/>
        </w:rPr>
        <w:t>服务；</w:t>
      </w:r>
    </w:p>
    <w:p w14:paraId="1E9E1B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③服务有效期；</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rPr>
        <w:t>④其他投标人</w:t>
      </w:r>
      <w:r>
        <w:rPr>
          <w:rFonts w:hint="eastAsia" w:ascii="Times New Roman" w:hAnsi="Times New Roman" w:eastAsia="仿宋_GB2312" w:cs="仿宋"/>
          <w:b w:val="0"/>
          <w:bCs/>
          <w:sz w:val="32"/>
          <w:szCs w:val="32"/>
          <w:highlight w:val="none"/>
        </w:rPr>
        <w:t>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Times New Roman" w:hAnsi="Times New Roman" w:eastAsia="仿宋_GB2312" w:cs="仿宋"/>
          <w:b w:val="0"/>
          <w:bCs/>
          <w:sz w:val="32"/>
          <w:szCs w:val="32"/>
          <w:highlight w:val="none"/>
          <w:lang w:val="en-US" w:eastAsia="zh-CN"/>
        </w:rPr>
      </w:pPr>
      <w:r>
        <w:rPr>
          <w:rFonts w:hint="eastAsia" w:ascii="Times New Roman" w:hAnsi="Times New Roman" w:eastAsia="仿宋_GB2312" w:cs="仿宋"/>
          <w:b w:val="0"/>
          <w:bCs/>
          <w:sz w:val="32"/>
          <w:szCs w:val="32"/>
          <w:highlight w:val="none"/>
        </w:rPr>
        <w:t>3</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招标文件</w:t>
      </w:r>
      <w:r>
        <w:rPr>
          <w:rFonts w:hint="eastAsia" w:ascii="Times New Roman" w:hAnsi="Times New Roman" w:eastAsia="仿宋_GB2312" w:cs="仿宋"/>
          <w:b w:val="0"/>
          <w:bCs/>
          <w:sz w:val="32"/>
          <w:szCs w:val="32"/>
          <w:highlight w:val="none"/>
        </w:rPr>
        <w:t>响应</w:t>
      </w:r>
      <w:r>
        <w:rPr>
          <w:rFonts w:hint="eastAsia" w:ascii="Times New Roman" w:hAnsi="Times New Roman" w:eastAsia="仿宋_GB2312" w:cs="仿宋"/>
          <w:b w:val="0"/>
          <w:bCs/>
          <w:sz w:val="32"/>
          <w:szCs w:val="32"/>
          <w:highlight w:val="none"/>
          <w:lang w:val="en-US" w:eastAsia="zh-CN"/>
        </w:rPr>
        <w:t>情况偏离</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投标人应制作与服务方案一致，按照“</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4</w:t>
      </w:r>
      <w:r>
        <w:rPr>
          <w:rFonts w:hint="eastAsia" w:ascii="Times New Roman" w:hAnsi="Times New Roman" w:eastAsia="仿宋_GB2312" w:cs="仿宋"/>
          <w:b w:val="0"/>
          <w:bCs/>
          <w:sz w:val="32"/>
          <w:szCs w:val="32"/>
          <w:highlight w:val="none"/>
        </w:rPr>
        <w:t xml:space="preserve"> </w:t>
      </w:r>
      <w:r>
        <w:rPr>
          <w:rFonts w:hint="eastAsia" w:ascii="Times New Roman" w:hAnsi="Times New Roman" w:eastAsia="仿宋_GB2312" w:cs="仿宋"/>
          <w:b w:val="0"/>
          <w:bCs/>
          <w:sz w:val="32"/>
          <w:szCs w:val="32"/>
          <w:highlight w:val="none"/>
          <w:lang w:val="en-US" w:eastAsia="zh-CN"/>
        </w:rPr>
        <w:t>招标文件</w:t>
      </w:r>
      <w:r>
        <w:rPr>
          <w:rFonts w:hint="eastAsia" w:ascii="Times New Roman" w:hAnsi="Times New Roman" w:eastAsia="仿宋_GB2312" w:cs="仿宋"/>
          <w:b w:val="0"/>
          <w:bCs/>
          <w:sz w:val="32"/>
          <w:szCs w:val="32"/>
          <w:highlight w:val="none"/>
        </w:rPr>
        <w:t>响应</w:t>
      </w:r>
      <w:r>
        <w:rPr>
          <w:rFonts w:hint="eastAsia" w:ascii="Times New Roman" w:hAnsi="Times New Roman" w:eastAsia="仿宋_GB2312" w:cs="仿宋"/>
          <w:b w:val="0"/>
          <w:bCs/>
          <w:sz w:val="32"/>
          <w:szCs w:val="32"/>
          <w:highlight w:val="none"/>
          <w:lang w:val="en-US" w:eastAsia="zh-CN"/>
        </w:rPr>
        <w:t>情况偏离表</w:t>
      </w:r>
      <w:r>
        <w:rPr>
          <w:rFonts w:hint="eastAsia" w:ascii="Times New Roman" w:hAnsi="Times New Roman" w:eastAsia="仿宋_GB2312" w:cs="仿宋"/>
          <w:b w:val="0"/>
          <w:bCs/>
          <w:sz w:val="32"/>
          <w:szCs w:val="32"/>
          <w:highlight w:val="none"/>
        </w:rPr>
        <w:t>”模板填列的要素响应情况，注明相关要求响应的服务承诺及投标文件对应页数。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4</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廉洁</w:t>
      </w:r>
      <w:r>
        <w:rPr>
          <w:rFonts w:hint="eastAsia" w:ascii="Times New Roman" w:hAnsi="Times New Roman" w:eastAsia="仿宋_GB2312" w:cs="仿宋"/>
          <w:b w:val="0"/>
          <w:bCs/>
          <w:sz w:val="32"/>
          <w:szCs w:val="32"/>
          <w:highlight w:val="none"/>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承诺函格式参见“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5廉洁</w:t>
      </w:r>
      <w:r>
        <w:rPr>
          <w:rFonts w:hint="eastAsia" w:ascii="Times New Roman" w:hAnsi="Times New Roman" w:eastAsia="仿宋_GB2312" w:cs="仿宋"/>
          <w:b w:val="0"/>
          <w:bCs/>
          <w:sz w:val="32"/>
          <w:szCs w:val="32"/>
          <w:highlight w:val="none"/>
        </w:rPr>
        <w:t>承诺函”。</w:t>
      </w:r>
    </w:p>
    <w:p w14:paraId="0B93520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（5）保价承诺函</w:t>
      </w:r>
    </w:p>
    <w:p w14:paraId="7C7CCE5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格式参见“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6</w:t>
      </w:r>
      <w:r>
        <w:rPr>
          <w:rFonts w:hint="eastAsia" w:ascii="Times New Roman" w:hAnsi="Times New Roman" w:eastAsia="仿宋_GB2312" w:cs="仿宋_GB2312"/>
          <w:sz w:val="32"/>
          <w:szCs w:val="32"/>
          <w:lang w:val="en-US" w:eastAsia="zh-CN"/>
        </w:rPr>
        <w:t>保价承诺函</w:t>
      </w:r>
      <w:r>
        <w:rPr>
          <w:rFonts w:hint="eastAsia" w:ascii="Times New Roman" w:hAnsi="Times New Roman" w:eastAsia="仿宋_GB2312" w:cs="仿宋"/>
          <w:b w:val="0"/>
          <w:bCs/>
          <w:sz w:val="32"/>
          <w:szCs w:val="32"/>
          <w:highlight w:val="none"/>
        </w:rPr>
        <w:t>”。</w:t>
      </w:r>
    </w:p>
    <w:p w14:paraId="55DA8533">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编制具有目录页的</w:t>
      </w:r>
      <w:r>
        <w:rPr>
          <w:rFonts w:hint="eastAsia" w:ascii="仿宋_GB2312" w:hAnsi="仿宋_GB2312" w:eastAsia="仿宋_GB2312" w:cs="仿宋_GB2312"/>
          <w:b w:val="0"/>
          <w:bCs/>
          <w:sz w:val="32"/>
          <w:szCs w:val="32"/>
          <w:highlight w:val="none"/>
        </w:rPr>
        <w:t>投标文件</w:t>
      </w:r>
      <w:r>
        <w:rPr>
          <w:rFonts w:hint="eastAsia" w:ascii="仿宋_GB2312" w:hAnsi="仿宋_GB2312" w:eastAsia="仿宋_GB2312" w:cs="仿宋_GB2312"/>
          <w:b w:val="0"/>
          <w:bCs/>
          <w:sz w:val="32"/>
          <w:szCs w:val="32"/>
          <w:highlight w:val="none"/>
          <w:lang w:val="en-US" w:eastAsia="zh-CN"/>
        </w:rPr>
        <w:t>装订</w:t>
      </w:r>
      <w:r>
        <w:rPr>
          <w:rFonts w:hint="eastAsia" w:ascii="仿宋_GB2312" w:hAnsi="仿宋_GB2312" w:eastAsia="仿宋_GB2312" w:cs="仿宋_GB2312"/>
          <w:b w:val="0"/>
          <w:bCs/>
          <w:sz w:val="32"/>
          <w:szCs w:val="32"/>
          <w:highlight w:val="none"/>
        </w:rPr>
        <w:t>成册，形</w:t>
      </w:r>
      <w:r>
        <w:rPr>
          <w:rFonts w:hint="eastAsia" w:ascii="Times New Roman" w:hAnsi="Times New Roman" w:eastAsia="仿宋_GB2312" w:cs="仿宋_GB2312"/>
          <w:b w:val="0"/>
          <w:bCs/>
          <w:sz w:val="32"/>
          <w:szCs w:val="32"/>
          <w:highlight w:val="none"/>
        </w:rPr>
        <w:t>成正本1份</w:t>
      </w:r>
      <w:r>
        <w:rPr>
          <w:rFonts w:hint="eastAsia" w:ascii="仿宋_GB2312" w:hAnsi="仿宋_GB2312" w:eastAsia="仿宋_GB2312" w:cs="仿宋_GB2312"/>
          <w:b w:val="0"/>
          <w:bCs/>
          <w:sz w:val="32"/>
          <w:szCs w:val="32"/>
          <w:highlight w:val="none"/>
        </w:rPr>
        <w:t>，正本每页均需加盖公章，并盖骑缝章；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3.正本应与和其内容一致的投标文件电子文本</w:t>
      </w:r>
      <w:r>
        <w:rPr>
          <w:rFonts w:hint="eastAsia" w:ascii="Times New Roman" w:hAnsi="Times New Roman" w:eastAsia="仿宋_GB2312" w:cs="仿宋_GB2312"/>
          <w:b w:val="0"/>
          <w:bCs/>
          <w:sz w:val="32"/>
          <w:szCs w:val="32"/>
          <w:highlight w:val="none"/>
        </w:rPr>
        <w:t>的U盘</w:t>
      </w:r>
      <w:r>
        <w:rPr>
          <w:rFonts w:hint="eastAsia" w:ascii="仿宋_GB2312" w:hAnsi="仿宋_GB2312" w:eastAsia="仿宋_GB2312" w:cs="仿宋_GB2312"/>
          <w:b w:val="0"/>
          <w:bCs/>
          <w:sz w:val="32"/>
          <w:szCs w:val="32"/>
          <w:highlight w:val="none"/>
        </w:rPr>
        <w:t>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4.投标文件应同时形成副</w:t>
      </w:r>
      <w:r>
        <w:rPr>
          <w:rFonts w:hint="eastAsia" w:ascii="Times New Roman" w:hAnsi="Times New Roman" w:eastAsia="仿宋_GB2312" w:cs="仿宋_GB2312"/>
          <w:b w:val="0"/>
          <w:bCs/>
          <w:sz w:val="32"/>
          <w:szCs w:val="32"/>
          <w:highlight w:val="none"/>
        </w:rPr>
        <w:t>本</w:t>
      </w:r>
      <w:r>
        <w:rPr>
          <w:rFonts w:hint="eastAsia" w:ascii="Times New Roman" w:hAnsi="Times New Roman" w:eastAsia="仿宋_GB2312" w:cs="仿宋_GB2312"/>
          <w:b w:val="0"/>
          <w:bCs/>
          <w:sz w:val="32"/>
          <w:szCs w:val="32"/>
          <w:highlight w:val="none"/>
          <w:lang w:val="en-US" w:eastAsia="zh-CN"/>
        </w:rPr>
        <w:t>2</w:t>
      </w:r>
      <w:r>
        <w:rPr>
          <w:rFonts w:hint="eastAsia" w:ascii="Times New Roman" w:hAnsi="Times New Roman" w:eastAsia="仿宋_GB2312" w:cs="仿宋_GB2312"/>
          <w:b w:val="0"/>
          <w:bCs/>
          <w:sz w:val="32"/>
          <w:szCs w:val="32"/>
          <w:highlight w:val="none"/>
        </w:rPr>
        <w:t>份</w:t>
      </w:r>
      <w:r>
        <w:rPr>
          <w:rFonts w:hint="eastAsia" w:ascii="仿宋_GB2312" w:hAnsi="仿宋_GB2312" w:eastAsia="仿宋_GB2312" w:cs="仿宋_GB2312"/>
          <w:b w:val="0"/>
          <w:bCs/>
          <w:sz w:val="32"/>
          <w:szCs w:val="32"/>
          <w:highlight w:val="none"/>
        </w:rPr>
        <w:t>，副本可为正本的复印件，封装至一个信封内；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5" w:name="_Toc28941"/>
      <w:r>
        <w:rPr>
          <w:rFonts w:hint="eastAsia" w:ascii="黑体" w:hAnsi="黑体" w:eastAsia="黑体" w:cs="黑体"/>
          <w:b w:val="0"/>
          <w:bCs/>
          <w:sz w:val="32"/>
          <w:szCs w:val="32"/>
          <w:highlight w:val="none"/>
        </w:rPr>
        <w:t>七、投标人须知</w:t>
      </w:r>
      <w:bookmarkEnd w:id="25"/>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（一）投标人因故不能参加投标的，须在开标会议至少前</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个工作日内以书面形式通知招标人。如未按本条要求通知招标人而造成招标工作受到阻碍或不良影响的，三年内不得参与招标人采购项目投标。</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val="en-US" w:eastAsia="zh-CN"/>
        </w:rPr>
        <w:t>（二）投标人对招标文件有任何疑问的，可在2025年8月18日17</w:t>
      </w:r>
      <w:r>
        <w:rPr>
          <w:rFonts w:hint="eastAsia" w:ascii="Times New Roman" w:hAnsi="Times New Roman" w:eastAsia="仿宋_GB2312" w:cs="仿宋"/>
          <w:b w:val="0"/>
          <w:bCs/>
          <w:color w:val="auto"/>
          <w:sz w:val="32"/>
          <w:szCs w:val="32"/>
          <w:highlight w:val="none"/>
          <w:u w:val="none"/>
          <w:lang w:val="en-US" w:eastAsia="zh-CN"/>
        </w:rPr>
        <w:t>时前内向本项目邀请投标公告列示的联系邮箱（huangxj@plhr.cn）发送书面答疑请求，未在规定时间或未按指定方式提出的，视为对招标文件及程序的认可，不得再以任何理由提出答疑，招标人将于2025年8月19</w:t>
      </w:r>
      <w:r>
        <w:rPr>
          <w:rFonts w:hint="eastAsia" w:ascii="Times New Roman" w:hAnsi="Times New Roman" w:eastAsia="仿宋_GB2312" w:cs="仿宋"/>
          <w:b w:val="0"/>
          <w:bCs/>
          <w:sz w:val="32"/>
          <w:szCs w:val="32"/>
          <w:highlight w:val="none"/>
          <w:lang w:val="en-US" w:eastAsia="zh-CN"/>
        </w:rPr>
        <w:t>日17时前进</w:t>
      </w:r>
      <w:r>
        <w:rPr>
          <w:rFonts w:hint="eastAsia" w:ascii="Times New Roman" w:hAnsi="Times New Roman" w:eastAsia="仿宋_GB2312" w:cs="仿宋"/>
          <w:b w:val="0"/>
          <w:bCs/>
          <w:sz w:val="32"/>
          <w:szCs w:val="32"/>
          <w:highlight w:val="none"/>
        </w:rPr>
        <w:t>行统一答疑。</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（三）投标人提出的报价应为已包括项目成本、依法应纳税金、履行服务所必要的随附工作所产生的其他费用等。</w:t>
      </w:r>
      <w:r>
        <w:rPr>
          <w:rFonts w:hint="eastAsia" w:ascii="Times New Roman" w:hAnsi="Times New Roman" w:eastAsia="仿宋_GB2312" w:cs="仿宋"/>
          <w:b w:val="0"/>
          <w:bCs/>
          <w:sz w:val="32"/>
          <w:szCs w:val="32"/>
          <w:highlight w:val="none"/>
          <w:lang w:eastAsia="zh-CN"/>
        </w:rPr>
        <w:t>报价单</w:t>
      </w:r>
      <w:r>
        <w:rPr>
          <w:rFonts w:hint="eastAsia" w:ascii="Times New Roman" w:hAnsi="Times New Roman" w:eastAsia="仿宋_GB2312" w:cs="仿宋"/>
          <w:b w:val="0"/>
          <w:bCs/>
          <w:sz w:val="32"/>
          <w:szCs w:val="32"/>
          <w:highlight w:val="none"/>
        </w:rPr>
        <w:t>只允许有一个以各体检项目单价</w:t>
      </w:r>
      <w:r>
        <w:rPr>
          <w:rFonts w:hint="eastAsia" w:ascii="Times New Roman" w:hAnsi="Times New Roman" w:eastAsia="仿宋_GB2312" w:cs="仿宋"/>
          <w:b w:val="0"/>
          <w:bCs/>
          <w:sz w:val="32"/>
          <w:szCs w:val="32"/>
          <w:highlight w:val="none"/>
          <w:lang w:eastAsia="zh-CN"/>
        </w:rPr>
        <w:t>、预期体检人数（以招标人提供的预计数为准）与项目总价</w:t>
      </w:r>
      <w:r>
        <w:rPr>
          <w:rFonts w:hint="eastAsia" w:ascii="Times New Roman" w:hAnsi="Times New Roman" w:eastAsia="仿宋_GB2312" w:cs="仿宋"/>
          <w:b w:val="0"/>
          <w:bCs/>
          <w:sz w:val="32"/>
          <w:szCs w:val="32"/>
          <w:highlight w:val="none"/>
        </w:rPr>
        <w:t>构成的报价文件，任何需要由招标人进行条件选择的非唯一报价将不予接受。</w:t>
      </w:r>
    </w:p>
    <w:p w14:paraId="2B858B7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（四）定标完成后，招标人将在公司官网（www.plhr.cn）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
          <w:b w:val="0"/>
          <w:bCs/>
          <w:sz w:val="32"/>
          <w:szCs w:val="32"/>
          <w:highlight w:val="none"/>
          <w:lang w:eastAsia="zh-CN"/>
        </w:rPr>
        <w:t>至</w:t>
      </w:r>
      <w:r>
        <w:rPr>
          <w:rFonts w:hint="eastAsia" w:ascii="Times New Roman" w:hAnsi="Times New Roman" w:eastAsia="仿宋_GB2312"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Times New Roman" w:hAnsi="Times New Roman" w:eastAsia="仿宋_GB2312" w:cs="仿宋"/>
          <w:b w:val="0"/>
          <w:bCs/>
          <w:sz w:val="32"/>
          <w:szCs w:val="32"/>
          <w:highlight w:val="none"/>
          <w:lang w:val="en-US" w:eastAsia="zh-CN"/>
        </w:rPr>
        <w:t>项目</w:t>
      </w:r>
      <w:r>
        <w:rPr>
          <w:rFonts w:hint="eastAsia" w:ascii="Times New Roman" w:hAnsi="Times New Roman" w:eastAsia="仿宋_GB2312" w:cs="仿宋"/>
          <w:b w:val="0"/>
          <w:bCs/>
          <w:sz w:val="32"/>
          <w:szCs w:val="32"/>
          <w:highlight w:val="none"/>
          <w:lang w:eastAsia="zh-CN"/>
        </w:rPr>
        <w:t>采购响应</w:t>
      </w:r>
      <w:r>
        <w:rPr>
          <w:rFonts w:hint="eastAsia" w:ascii="Times New Roman" w:hAnsi="Times New Roman" w:eastAsia="仿宋_GB2312" w:cs="仿宋"/>
          <w:b w:val="0"/>
          <w:bCs/>
          <w:sz w:val="32"/>
          <w:szCs w:val="32"/>
          <w:highlight w:val="none"/>
        </w:rPr>
        <w:t>。</w:t>
      </w:r>
    </w:p>
    <w:p w14:paraId="3307A1C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 w:val="0"/>
          <w:bCs/>
          <w:sz w:val="32"/>
          <w:szCs w:val="32"/>
          <w:highlight w:val="none"/>
        </w:rPr>
        <w:t>（五）</w:t>
      </w:r>
      <w:r>
        <w:rPr>
          <w:rFonts w:hint="eastAsia" w:ascii="Times New Roman" w:hAnsi="Times New Roman" w:eastAsia="仿宋_GB2312" w:cs="仿宋"/>
          <w:bCs/>
          <w:sz w:val="32"/>
          <w:szCs w:val="32"/>
          <w:highlight w:val="none"/>
        </w:rPr>
        <w:t>若接受邀请、递交投标文件或投标文件符合性审查阶段中任一阶段的有效投标人数量不足3家，招标人有权根据经营管理需要</w:t>
      </w:r>
      <w:r>
        <w:rPr>
          <w:rFonts w:hint="default" w:ascii="Times New Roman" w:hAnsi="Times New Roman" w:eastAsia="仿宋_GB2312" w:cs="仿宋"/>
          <w:bCs/>
          <w:sz w:val="32"/>
          <w:szCs w:val="32"/>
          <w:highlight w:val="none"/>
        </w:rPr>
        <w:t>面向不特定社会公众实施公开招标，如二次招标有效投标人仍不足3家的，招标人将根据经营管理需要变更采购方式为</w:t>
      </w:r>
      <w:r>
        <w:rPr>
          <w:rFonts w:hint="eastAsia" w:ascii="Times New Roman" w:hAnsi="Times New Roman" w:eastAsia="仿宋_GB2312" w:cs="仿宋"/>
          <w:bCs/>
          <w:sz w:val="32"/>
          <w:szCs w:val="32"/>
          <w:highlight w:val="none"/>
        </w:rPr>
        <w:t>竞争性谈判</w:t>
      </w:r>
      <w:r>
        <w:rPr>
          <w:rFonts w:hint="default" w:ascii="Times New Roman" w:hAnsi="Times New Roman" w:eastAsia="仿宋_GB2312" w:cs="仿宋"/>
          <w:bCs/>
          <w:sz w:val="32"/>
          <w:szCs w:val="32"/>
          <w:highlight w:val="none"/>
        </w:rPr>
        <w:t>。前述各阶段已经作出有效响应的</w:t>
      </w:r>
      <w:r>
        <w:rPr>
          <w:rFonts w:hint="eastAsia" w:ascii="Times New Roman" w:hAnsi="Times New Roman" w:eastAsia="仿宋_GB2312" w:cs="仿宋"/>
          <w:bCs/>
          <w:sz w:val="32"/>
          <w:szCs w:val="32"/>
          <w:highlight w:val="none"/>
        </w:rPr>
        <w:t>投标文件</w:t>
      </w:r>
      <w:r>
        <w:rPr>
          <w:rFonts w:hint="default" w:ascii="Times New Roman" w:hAnsi="Times New Roman" w:eastAsia="仿宋_GB2312" w:cs="仿宋"/>
          <w:bCs/>
          <w:sz w:val="32"/>
          <w:szCs w:val="32"/>
          <w:highlight w:val="none"/>
        </w:rPr>
        <w:t>可以直接</w:t>
      </w:r>
      <w:r>
        <w:rPr>
          <w:rFonts w:hint="eastAsia" w:ascii="Times New Roman" w:hAnsi="Times New Roman" w:eastAsia="仿宋_GB2312" w:cs="仿宋"/>
          <w:bCs/>
          <w:sz w:val="32"/>
          <w:szCs w:val="32"/>
          <w:highlight w:val="none"/>
        </w:rPr>
        <w:t>适用于竞争性谈判</w:t>
      </w:r>
      <w:r>
        <w:rPr>
          <w:rFonts w:hint="default" w:ascii="Times New Roman" w:hAnsi="Times New Roman" w:eastAsia="仿宋_GB2312"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（六）本项目采用综合评标法，招标人不承诺投标价格最低的投标人中标。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34319E3F">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73B5925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C871ECD">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（十）投标人有义务在整个招标工作开展期间自行留意招标人官方网站（www.plhr.cn）</w:t>
      </w:r>
      <w:r>
        <w:rPr>
          <w:rFonts w:hint="eastAsia" w:ascii="Times New Roman" w:hAnsi="Times New Roman" w:eastAsia="仿宋_GB2312" w:cs="仿宋"/>
          <w:b w:val="0"/>
          <w:bCs/>
          <w:sz w:val="32"/>
          <w:szCs w:val="32"/>
          <w:highlight w:val="none"/>
          <w:lang w:val="en-US" w:eastAsia="zh-CN"/>
        </w:rPr>
        <w:t>及深圳阳光采购平台</w:t>
      </w:r>
      <w:r>
        <w:rPr>
          <w:rFonts w:hint="eastAsia" w:ascii="Times New Roman" w:hAnsi="Times New Roman" w:eastAsia="仿宋_GB2312" w:cs="仿宋"/>
          <w:b w:val="0"/>
          <w:bCs/>
          <w:sz w:val="32"/>
          <w:szCs w:val="32"/>
          <w:highlight w:val="none"/>
        </w:rPr>
        <w:t>发布的公告通知，所有在该网站发布的公告、通知均视为有效送达。因投标人疏于浏览而导致的不利后果由投标人自行承担。</w:t>
      </w:r>
    </w:p>
    <w:p w14:paraId="1C0C8D7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6" w:name="_Toc14904"/>
      <w:r>
        <w:rPr>
          <w:rFonts w:hint="eastAsia" w:ascii="黑体" w:hAnsi="黑体" w:eastAsia="黑体" w:cs="黑体"/>
          <w:b w:val="0"/>
          <w:bCs/>
          <w:sz w:val="32"/>
          <w:szCs w:val="32"/>
          <w:highlight w:val="none"/>
        </w:rPr>
        <w:t>八、投标文件作废</w:t>
      </w:r>
      <w:bookmarkEnd w:id="26"/>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未按照投标邀请函示要求提交答复函、报名表及随附材料；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未经招标方同意擅自改动招标文件内容；</w:t>
      </w:r>
    </w:p>
    <w:p w14:paraId="68D483C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投标文件递交超过截止时限或未能递交投标文件；</w:t>
      </w:r>
    </w:p>
    <w:p w14:paraId="1D28E3D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rPr>
        <w:t>在邀请投标及后续谈判的任意环节中提供虚假材料及信息；</w:t>
      </w:r>
    </w:p>
    <w:p w14:paraId="317E7E9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七）</w:t>
      </w:r>
      <w:r>
        <w:rPr>
          <w:rFonts w:hint="eastAsia" w:ascii="仿宋_GB2312" w:hAnsi="仿宋_GB2312" w:eastAsia="仿宋_GB2312" w:cs="仿宋_GB2312"/>
          <w:b w:val="0"/>
          <w:bCs/>
          <w:sz w:val="32"/>
          <w:szCs w:val="32"/>
          <w:highlight w:val="none"/>
        </w:rPr>
        <w:t>本文件中规定的其它按废标处理的情形。</w:t>
      </w:r>
    </w:p>
    <w:p w14:paraId="3E7019F3">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7" w:name="_Toc5667"/>
      <w:r>
        <w:rPr>
          <w:rFonts w:hint="eastAsia" w:ascii="黑体" w:hAnsi="黑体" w:eastAsia="黑体" w:cs="黑体"/>
          <w:b w:val="0"/>
          <w:bCs/>
          <w:sz w:val="32"/>
          <w:szCs w:val="32"/>
          <w:highlight w:val="none"/>
        </w:rPr>
        <w:t>九、其他要求</w:t>
      </w:r>
      <w:bookmarkEnd w:id="27"/>
    </w:p>
    <w:p w14:paraId="60FE29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lang w:val="en-US" w:eastAsia="zh-CN"/>
        </w:rPr>
        <w:t>一）</w:t>
      </w:r>
      <w:r>
        <w:rPr>
          <w:rFonts w:hint="eastAsia" w:ascii="Times New Roman" w:hAnsi="Times New Roman" w:eastAsia="仿宋_GB2312" w:cs="仿宋"/>
          <w:b w:val="0"/>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5B98DE6B">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lang w:val="en-US" w:eastAsia="zh-CN"/>
        </w:rPr>
        <w:t>二）</w:t>
      </w:r>
      <w:r>
        <w:rPr>
          <w:rFonts w:hint="eastAsia" w:ascii="Times New Roman" w:hAnsi="Times New Roman" w:eastAsia="仿宋_GB2312" w:cs="仿宋"/>
          <w:b w:val="0"/>
          <w:bCs/>
          <w:sz w:val="32"/>
          <w:szCs w:val="32"/>
          <w:highlight w:val="none"/>
        </w:rPr>
        <w:t>对恶意投标、中标后不能按照本招标文件“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14:paraId="7C6083B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Times New Roman" w:hAnsi="Times New Roman" w:eastAsia="仿宋_GB2312" w:cs="仿宋"/>
          <w:b w:val="0"/>
          <w:bCs/>
          <w:sz w:val="32"/>
          <w:szCs w:val="32"/>
          <w:highlight w:val="none"/>
        </w:rPr>
        <w:t>不论投标结果如何，投标人的投标文件均不退回，且不对未中标单位作任何解释。投标人因投标产生的一切费用不管投标结果如何，均由投标人承担。</w:t>
      </w:r>
    </w:p>
    <w:p w14:paraId="396FD2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Times New Roman" w:hAnsi="Times New Roman" w:eastAsia="仿宋_GB2312" w:cs="仿宋"/>
          <w:b w:val="0"/>
          <w:bCs/>
          <w:sz w:val="32"/>
          <w:szCs w:val="32"/>
          <w:highlight w:val="none"/>
        </w:rPr>
        <w:t>投标人不得相互串通投标报价，不得排挤其他投标人的公平竞争。一经发现违规行为，招标人有权立即终止采购活动并取消违反规定的投标人资格。</w:t>
      </w:r>
    </w:p>
    <w:p w14:paraId="1CB1870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8" w:name="_Toc3787"/>
      <w:r>
        <w:rPr>
          <w:rFonts w:hint="eastAsia" w:ascii="黑体" w:hAnsi="黑体" w:eastAsia="黑体" w:cs="黑体"/>
          <w:b w:val="0"/>
          <w:bCs/>
          <w:sz w:val="32"/>
          <w:szCs w:val="32"/>
          <w:highlight w:val="none"/>
        </w:rPr>
        <w:t>十、投标文件递交</w:t>
      </w:r>
      <w:bookmarkEnd w:id="28"/>
    </w:p>
    <w:p w14:paraId="4A5090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现场递交</w:t>
      </w:r>
    </w:p>
    <w:p w14:paraId="48D23BF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递交</w:t>
      </w:r>
      <w:r>
        <w:rPr>
          <w:rFonts w:hint="eastAsia" w:ascii="楷体_GB2312" w:hAnsi="楷体_GB2312" w:eastAsia="楷体_GB2312" w:cs="楷体_GB2312"/>
          <w:b w:val="0"/>
          <w:bCs/>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Times New Roman" w:hAnsi="Times New Roman" w:eastAsia="仿宋_GB2312" w:cs="仿宋"/>
          <w:b w:val="0"/>
          <w:bCs/>
          <w:kern w:val="0"/>
          <w:sz w:val="32"/>
          <w:szCs w:val="32"/>
          <w:highlight w:val="none"/>
          <w:lang w:val="en-US" w:eastAsia="zh-CN" w:bidi="ar-SA"/>
        </w:rPr>
        <w:t>2025年9月3日14时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C9E892B">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递交地址</w:t>
      </w:r>
    </w:p>
    <w:p w14:paraId="4A27301F">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深圳市罗湖区笋岗街道田心社区红岭北路2088号招商开元中心A座13层</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9" w:name="_Toc1012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29"/>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rPr>
        <w:t>开标时间</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kern w:val="0"/>
          <w:sz w:val="32"/>
          <w:szCs w:val="32"/>
          <w:highlight w:val="none"/>
          <w:lang w:val="en-US" w:eastAsia="zh-CN" w:bidi="ar-SA"/>
        </w:rPr>
        <w:t>2025年9月3日14时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开标方式</w:t>
      </w:r>
    </w:p>
    <w:p w14:paraId="069DB9E3">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现场开标</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深圳市罗湖区笋岗街道田心社区红岭北路2088号招商开元中心A座13层</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投标人代表确认开标记录，签字确认并离场。</w:t>
      </w:r>
    </w:p>
    <w:p w14:paraId="4887172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五）</w:t>
      </w:r>
      <w:r>
        <w:rPr>
          <w:rFonts w:hint="eastAsia" w:ascii="楷体_GB2312" w:hAnsi="楷体_GB2312" w:eastAsia="楷体_GB2312" w:cs="楷体_GB2312"/>
          <w:b w:val="0"/>
          <w:bCs/>
          <w:sz w:val="32"/>
          <w:szCs w:val="32"/>
          <w:highlight w:val="none"/>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4.实质性响应投标</w:t>
      </w:r>
      <w:r>
        <w:rPr>
          <w:rFonts w:hint="eastAsia" w:ascii="Times New Roman" w:hAnsi="Times New Roman" w:eastAsia="仿宋_GB2312" w:cs="仿宋_GB2312"/>
          <w:b w:val="0"/>
          <w:bCs/>
          <w:sz w:val="32"/>
          <w:szCs w:val="32"/>
          <w:highlight w:val="none"/>
          <w:lang w:val="en-US" w:eastAsia="zh-CN"/>
        </w:rPr>
        <w:t>人少于3家</w:t>
      </w:r>
      <w:r>
        <w:rPr>
          <w:rFonts w:hint="eastAsia" w:ascii="仿宋_GB2312" w:hAnsi="仿宋_GB2312" w:eastAsia="仿宋_GB2312" w:cs="仿宋_GB2312"/>
          <w:b w:val="0"/>
          <w:bCs/>
          <w:sz w:val="32"/>
          <w:szCs w:val="32"/>
          <w:highlight w:val="none"/>
          <w:lang w:val="en-US" w:eastAsia="zh-CN"/>
        </w:rPr>
        <w:t>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0" w:name="_Toc75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30"/>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评标细则及标准</w:t>
      </w:r>
    </w:p>
    <w:p w14:paraId="34BB53F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w:t>
      </w:r>
    </w:p>
    <w:p w14:paraId="0A4C5C70">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1" w:name="_Toc2535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31"/>
    </w:p>
    <w:p w14:paraId="359766E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Times New Roman" w:hAnsi="Times New Roman" w:eastAsia="仿宋_GB2312" w:cs="仿宋"/>
          <w:b w:val="0"/>
          <w:bCs/>
          <w:sz w:val="32"/>
          <w:szCs w:val="32"/>
          <w:highlight w:val="none"/>
          <w:lang w:eastAsia="zh-CN"/>
        </w:rPr>
        <w:t>由招标人招标决策委员会依据评标报告综合评价定标。</w:t>
      </w:r>
    </w:p>
    <w:p w14:paraId="49554875">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2" w:name="_Toc976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32"/>
    </w:p>
    <w:p w14:paraId="137DE4B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3" w:name="_Toc1730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33"/>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招标文件解释权归深圳市鹏劳人力资源管理有限公司招标决策委员会所有。</w:t>
      </w:r>
    </w:p>
    <w:p w14:paraId="5D8D9E1F">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4" w:name="_Toc25565"/>
      <w:bookmarkStart w:id="35" w:name="_Toc3586"/>
      <w:r>
        <w:rPr>
          <w:rFonts w:hint="eastAsia" w:ascii="黑体" w:hAnsi="黑体" w:eastAsia="黑体" w:cs="黑体"/>
          <w:b w:val="0"/>
          <w:bCs/>
          <w:sz w:val="32"/>
          <w:szCs w:val="32"/>
          <w:highlight w:val="none"/>
        </w:rPr>
        <w:t xml:space="preserve">第二章 </w:t>
      </w:r>
      <w:bookmarkEnd w:id="34"/>
      <w:r>
        <w:rPr>
          <w:rFonts w:hint="eastAsia" w:ascii="黑体" w:hAnsi="黑体" w:eastAsia="黑体" w:cs="黑体"/>
          <w:b w:val="0"/>
          <w:bCs/>
          <w:sz w:val="32"/>
          <w:szCs w:val="32"/>
          <w:highlight w:val="none"/>
        </w:rPr>
        <w:t>评标程序及标准</w:t>
      </w:r>
      <w:bookmarkEnd w:id="35"/>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_GB2312" w:hAnsi="仿宋_GB2312" w:eastAsia="仿宋_GB2312" w:cs="仿宋_GB2312"/>
          <w:b w:val="0"/>
          <w:bCs/>
          <w:sz w:val="32"/>
          <w:szCs w:val="32"/>
          <w:highlight w:val="none"/>
          <w:lang w:val="en-US" w:eastAsia="zh-CN"/>
        </w:rPr>
        <w:t>按</w:t>
      </w:r>
      <w:r>
        <w:rPr>
          <w:rFonts w:hint="eastAsia" w:ascii="仿宋_GB2312" w:hAnsi="仿宋_GB2312" w:eastAsia="仿宋_GB2312" w:cs="仿宋_GB2312"/>
          <w:b w:val="0"/>
          <w:bCs/>
          <w:sz w:val="32"/>
          <w:szCs w:val="32"/>
          <w:highlight w:val="none"/>
        </w:rPr>
        <w:t>商务技术标得分顺序排列；如</w:t>
      </w:r>
      <w:r>
        <w:rPr>
          <w:rFonts w:hint="eastAsia" w:ascii="仿宋_GB2312" w:hAnsi="仿宋_GB2312" w:eastAsia="仿宋_GB2312" w:cs="仿宋_GB2312"/>
          <w:b w:val="0"/>
          <w:bCs/>
          <w:sz w:val="32"/>
          <w:szCs w:val="32"/>
          <w:highlight w:val="none"/>
          <w:lang w:val="en-US" w:eastAsia="zh-CN"/>
        </w:rPr>
        <w:t>商务</w:t>
      </w:r>
      <w:r>
        <w:rPr>
          <w:rFonts w:hint="eastAsia" w:ascii="仿宋_GB2312" w:hAnsi="仿宋_GB2312" w:eastAsia="仿宋_GB2312" w:cs="仿宋_GB2312"/>
          <w:b w:val="0"/>
          <w:bCs/>
          <w:sz w:val="32"/>
          <w:szCs w:val="32"/>
          <w:highlight w:val="none"/>
        </w:rPr>
        <w:t>技术指标或服务方案得分仍然相同，则采用抽签的方法确定中标候选人的排序。具体程序如下：</w:t>
      </w:r>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36" w:name="_Toc532127158"/>
      <w:bookmarkStart w:id="37" w:name="_Toc40445480"/>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36"/>
      <w:bookmarkEnd w:id="37"/>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评标专家组根据投标人</w:t>
      </w:r>
      <w:r>
        <w:rPr>
          <w:rFonts w:hint="eastAsia" w:ascii="仿宋_GB2312" w:hAnsi="仿宋_GB2312" w:eastAsia="仿宋_GB2312" w:cs="仿宋_GB2312"/>
          <w:b w:val="0"/>
          <w:bCs/>
          <w:sz w:val="32"/>
          <w:szCs w:val="32"/>
          <w:highlight w:val="none"/>
          <w:lang w:eastAsia="zh-CN"/>
        </w:rPr>
        <w:t>投标文件</w:t>
      </w:r>
      <w:r>
        <w:rPr>
          <w:rFonts w:hint="eastAsia" w:ascii="仿宋_GB2312" w:hAnsi="仿宋_GB2312" w:eastAsia="仿宋_GB2312" w:cs="仿宋_GB2312"/>
          <w:b w:val="0"/>
          <w:bCs/>
          <w:sz w:val="32"/>
          <w:szCs w:val="32"/>
          <w:highlight w:val="none"/>
        </w:rPr>
        <w:t>进行</w:t>
      </w:r>
      <w:r>
        <w:rPr>
          <w:rFonts w:hint="eastAsia" w:ascii="仿宋_GB2312" w:hAnsi="仿宋_GB2312" w:eastAsia="仿宋_GB2312" w:cs="仿宋_GB2312"/>
          <w:b w:val="0"/>
          <w:bCs/>
          <w:sz w:val="32"/>
          <w:szCs w:val="32"/>
          <w:highlight w:val="none"/>
          <w:lang w:eastAsia="zh-CN"/>
        </w:rPr>
        <w:t>资质</w:t>
      </w:r>
      <w:r>
        <w:rPr>
          <w:rFonts w:hint="eastAsia" w:ascii="仿宋_GB2312" w:hAnsi="仿宋_GB2312" w:eastAsia="仿宋_GB2312" w:cs="仿宋_GB2312"/>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初步评审的结论是“通过”或“不通过”，只有结论为“通过”的投标方能进入下一阶段的评标，否则其投标将按无</w:t>
      </w:r>
      <w:r>
        <w:rPr>
          <w:rFonts w:hint="eastAsia" w:ascii="仿宋_GB2312" w:hAnsi="仿宋_GB2312" w:eastAsia="仿宋_GB2312" w:cs="仿宋_GB2312"/>
          <w:b w:val="0"/>
          <w:bCs/>
          <w:sz w:val="32"/>
          <w:szCs w:val="32"/>
          <w:highlight w:val="none"/>
          <w:lang w:eastAsia="zh-CN"/>
        </w:rPr>
        <w:t>投标无效</w:t>
      </w:r>
      <w:r>
        <w:rPr>
          <w:rFonts w:hint="eastAsia" w:ascii="仿宋_GB2312" w:hAnsi="仿宋_GB2312" w:eastAsia="仿宋_GB2312" w:cs="仿宋_GB2312"/>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8" w:name="_bookmark89"/>
      <w:bookmarkEnd w:id="38"/>
      <w:bookmarkStart w:id="39" w:name="_Toc532127159"/>
      <w:bookmarkStart w:id="40" w:name="_Toc40445481"/>
      <w:r>
        <w:rPr>
          <w:rFonts w:hint="eastAsia" w:ascii="黑体" w:hAnsi="黑体" w:eastAsia="黑体" w:cs="黑体"/>
          <w:b w:val="0"/>
          <w:bCs/>
          <w:sz w:val="32"/>
          <w:szCs w:val="32"/>
          <w:highlight w:val="none"/>
          <w:lang w:val="en-US" w:eastAsia="zh-CN"/>
        </w:rPr>
        <w:t>二、详细评审</w:t>
      </w:r>
      <w:bookmarkEnd w:id="39"/>
      <w:bookmarkEnd w:id="40"/>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1" w:name="_Toc532127160"/>
      <w:bookmarkStart w:id="42" w:name="_Toc40445482"/>
      <w:r>
        <w:rPr>
          <w:rFonts w:hint="eastAsia" w:ascii="黑体" w:hAnsi="黑体" w:eastAsia="黑体" w:cs="黑体"/>
          <w:b w:val="0"/>
          <w:bCs/>
          <w:sz w:val="32"/>
          <w:szCs w:val="32"/>
          <w:highlight w:val="none"/>
          <w:lang w:val="en-US" w:eastAsia="zh-CN"/>
        </w:rPr>
        <w:t>三、投标文件的澄清</w:t>
      </w:r>
      <w:bookmarkEnd w:id="41"/>
      <w:bookmarkEnd w:id="42"/>
    </w:p>
    <w:p w14:paraId="553CCC9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3"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4" w:name="_Toc40445483"/>
      <w:r>
        <w:rPr>
          <w:rFonts w:hint="eastAsia" w:ascii="黑体" w:hAnsi="黑体" w:eastAsia="黑体" w:cs="黑体"/>
          <w:b w:val="0"/>
          <w:bCs/>
          <w:sz w:val="32"/>
          <w:szCs w:val="32"/>
          <w:highlight w:val="none"/>
          <w:lang w:val="en-US" w:eastAsia="zh-CN"/>
        </w:rPr>
        <w:t>四、评标结果</w:t>
      </w:r>
      <w:bookmarkEnd w:id="43"/>
      <w:bookmarkEnd w:id="44"/>
    </w:p>
    <w:p w14:paraId="11B1700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评标专家组完成评标后，应当向招标决策委员会提交书面评标报告和中标候选人名单。</w:t>
      </w:r>
      <w:bookmarkStart w:id="45" w:name="_Toc532127162"/>
      <w:r>
        <w:rPr>
          <w:rFonts w:hint="eastAsia" w:ascii="Times New Roman" w:hAnsi="Times New Roman" w:eastAsia="仿宋_GB2312" w:cs="仿宋"/>
          <w:b w:val="0"/>
          <w:bCs/>
          <w:sz w:val="32"/>
          <w:szCs w:val="32"/>
          <w:highlight w:val="none"/>
        </w:rPr>
        <w:t>具体程序如下</w:t>
      </w:r>
      <w:r>
        <w:rPr>
          <w:rFonts w:hint="eastAsia" w:ascii="Times New Roman" w:hAnsi="Times New Roman" w:eastAsia="仿宋_GB2312" w:cs="仿宋"/>
          <w:b w:val="0"/>
          <w:bCs/>
          <w:sz w:val="32"/>
          <w:szCs w:val="32"/>
          <w:highlight w:val="none"/>
          <w:lang w:eastAsia="zh-CN"/>
        </w:rPr>
        <w:t>：</w:t>
      </w:r>
    </w:p>
    <w:bookmarkEnd w:id="45"/>
    <w:p w14:paraId="11B48658">
      <w:pPr>
        <w:pageBreakBefore w:val="0"/>
        <w:numPr>
          <w:ilvl w:val="0"/>
          <w:numId w:val="6"/>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按评审综合得分从高至低的顺序进行排序，向招标人决策委员会推荐评审总得分排名靠前的投标人为中标候选人，推荐数为2家。</w:t>
      </w:r>
    </w:p>
    <w:p w14:paraId="4ABA7C13">
      <w:pPr>
        <w:pageBreakBefore w:val="0"/>
        <w:numPr>
          <w:ilvl w:val="0"/>
          <w:numId w:val="6"/>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按照</w:t>
      </w:r>
      <w:r>
        <w:rPr>
          <w:rFonts w:hint="eastAsia" w:ascii="仿宋_GB2312" w:hAnsi="仿宋_GB2312" w:eastAsia="仿宋_GB2312" w:cs="仿宋_GB2312"/>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6" w:name="_Toc40445485"/>
      <w:bookmarkStart w:id="47" w:name="_Toc532127163"/>
      <w:r>
        <w:rPr>
          <w:rFonts w:hint="eastAsia" w:ascii="黑体" w:hAnsi="黑体" w:eastAsia="黑体" w:cs="黑体"/>
          <w:b w:val="0"/>
          <w:bCs/>
          <w:sz w:val="32"/>
          <w:szCs w:val="32"/>
          <w:highlight w:val="none"/>
          <w:lang w:val="en-US" w:eastAsia="zh-CN"/>
        </w:rPr>
        <w:t>六、附表</w:t>
      </w:r>
      <w:bookmarkEnd w:id="46"/>
      <w:bookmarkEnd w:id="47"/>
    </w:p>
    <w:p w14:paraId="4FDF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eastAsia="zh-CN"/>
        </w:rPr>
      </w:pPr>
      <w:r>
        <w:rPr>
          <w:rFonts w:hint="eastAsia" w:ascii="Times New Roman" w:hAnsi="Times New Roman" w:eastAsia="仿宋_GB2312" w:cs="仿宋_GB2312"/>
          <w:b w:val="0"/>
          <w:bCs/>
          <w:sz w:val="32"/>
          <w:szCs w:val="32"/>
          <w:highlight w:val="none"/>
          <w:lang w:eastAsia="zh-CN"/>
        </w:rPr>
        <w:t>附表1-1《商务技术标评审标准》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eastAsia="zh-CN"/>
        </w:rPr>
      </w:pPr>
      <w:r>
        <w:rPr>
          <w:rFonts w:hint="eastAsia" w:ascii="Times New Roman" w:hAnsi="Times New Roman" w:eastAsia="仿宋_GB2312" w:cs="仿宋_GB2312"/>
          <w:b w:val="0"/>
          <w:bCs/>
          <w:sz w:val="32"/>
          <w:szCs w:val="32"/>
          <w:highlight w:val="none"/>
          <w:lang w:eastAsia="zh-CN"/>
        </w:rPr>
        <w:t>附表2-1《价格标评分方法》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附表3-1《商务技术</w:t>
      </w:r>
      <w:r>
        <w:rPr>
          <w:rFonts w:hint="eastAsia" w:ascii="Times New Roman" w:hAnsi="Times New Roman" w:eastAsia="仿宋_GB2312" w:cs="仿宋_GB2312"/>
          <w:b w:val="0"/>
          <w:bCs/>
          <w:sz w:val="32"/>
          <w:szCs w:val="32"/>
          <w:highlight w:val="none"/>
          <w:lang w:val="en-US" w:eastAsia="zh-CN"/>
        </w:rPr>
        <w:t>标、</w:t>
      </w:r>
      <w:r>
        <w:rPr>
          <w:rFonts w:hint="eastAsia" w:ascii="Times New Roman" w:hAnsi="Times New Roman" w:eastAsia="仿宋_GB2312" w:cs="仿宋_GB2312"/>
          <w:b w:val="0"/>
          <w:bCs/>
          <w:sz w:val="32"/>
          <w:szCs w:val="32"/>
          <w:highlight w:val="none"/>
          <w:lang w:eastAsia="zh-CN"/>
        </w:rPr>
        <w:t>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3"/>
        <w:rPr>
          <w:rFonts w:hint="eastAsia" w:ascii="仿宋" w:hAnsi="仿宋" w:eastAsia="仿宋" w:cs="仿宋"/>
          <w:b w:val="0"/>
          <w:bCs/>
          <w:sz w:val="32"/>
          <w:szCs w:val="32"/>
          <w:highlight w:val="none"/>
          <w:lang w:eastAsia="zh-CN"/>
        </w:rPr>
      </w:pPr>
      <w:bookmarkStart w:id="48" w:name="_bookmark90"/>
      <w:bookmarkEnd w:id="48"/>
      <w:bookmarkStart w:id="49" w:name="_bookmark91"/>
      <w:bookmarkEnd w:id="49"/>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 xml:space="preserve">附表1-1 </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商务技术标评审标准</w:t>
      </w:r>
      <w:r>
        <w:rPr>
          <w:rFonts w:hint="eastAsia" w:ascii="仿宋" w:hAnsi="仿宋" w:eastAsia="仿宋" w:cs="仿宋"/>
          <w:b w:val="0"/>
          <w:bCs/>
          <w:sz w:val="24"/>
          <w:szCs w:val="24"/>
          <w:highlight w:val="none"/>
          <w:lang w:eastAsia="zh-CN"/>
        </w:rPr>
        <w:t>》</w:t>
      </w:r>
    </w:p>
    <w:p w14:paraId="0B848BB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5"/>
        <w:tblW w:w="56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86"/>
        <w:gridCol w:w="7548"/>
        <w:gridCol w:w="866"/>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jc w:val="center"/>
        </w:trPr>
        <w:tc>
          <w:tcPr>
            <w:tcW w:w="381"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序号</w:t>
            </w:r>
          </w:p>
        </w:tc>
        <w:tc>
          <w:tcPr>
            <w:tcW w:w="528"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因素</w:t>
            </w:r>
          </w:p>
        </w:tc>
        <w:tc>
          <w:tcPr>
            <w:tcW w:w="3669"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评分准则</w:t>
            </w:r>
          </w:p>
        </w:tc>
        <w:tc>
          <w:tcPr>
            <w:tcW w:w="421"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分值</w:t>
            </w:r>
          </w:p>
        </w:tc>
      </w:tr>
      <w:tr w14:paraId="57BB0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381" w:type="pct"/>
            <w:tcBorders>
              <w:tl2br w:val="nil"/>
              <w:tr2bl w:val="nil"/>
            </w:tcBorders>
            <w:vAlign w:val="center"/>
          </w:tcPr>
          <w:p w14:paraId="1D889995">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w:t>
            </w:r>
          </w:p>
        </w:tc>
        <w:tc>
          <w:tcPr>
            <w:tcW w:w="528" w:type="pct"/>
            <w:tcBorders>
              <w:tl2br w:val="nil"/>
              <w:tr2bl w:val="nil"/>
            </w:tcBorders>
            <w:vAlign w:val="center"/>
          </w:tcPr>
          <w:p w14:paraId="1D9DBEF3">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eastAsia="zh-CN"/>
              </w:rPr>
            </w:pPr>
            <w:r>
              <w:rPr>
                <w:rFonts w:hint="eastAsia" w:ascii="Times New Roman" w:hAnsi="Times New Roman" w:eastAsia="宋体" w:cstheme="minorEastAsia"/>
                <w:b w:val="0"/>
                <w:bCs/>
                <w:sz w:val="22"/>
                <w:szCs w:val="22"/>
                <w:highlight w:val="none"/>
                <w:lang w:eastAsia="zh-CN"/>
              </w:rPr>
              <w:t>体检项目全面性评价</w:t>
            </w:r>
          </w:p>
        </w:tc>
        <w:tc>
          <w:tcPr>
            <w:tcW w:w="3669" w:type="pct"/>
            <w:tcBorders>
              <w:tl2br w:val="nil"/>
              <w:tr2bl w:val="nil"/>
            </w:tcBorders>
            <w:vAlign w:val="center"/>
          </w:tcPr>
          <w:p w14:paraId="708FF4C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sz w:val="22"/>
                <w:szCs w:val="22"/>
                <w:highlight w:val="none"/>
                <w:lang w:val="en-US" w:eastAsia="zh-CN"/>
              </w:rPr>
              <w:t>投标人</w:t>
            </w:r>
            <w:r>
              <w:rPr>
                <w:rFonts w:hint="eastAsia" w:ascii="Times New Roman" w:hAnsi="Times New Roman" w:eastAsia="宋体" w:cstheme="minorEastAsia"/>
                <w:b w:val="0"/>
                <w:bCs/>
                <w:sz w:val="22"/>
                <w:szCs w:val="22"/>
                <w:highlight w:val="none"/>
                <w:lang w:eastAsia="zh-CN"/>
              </w:rPr>
              <w:t>能够满足</w:t>
            </w:r>
            <w:r>
              <w:rPr>
                <w:rFonts w:hint="eastAsia" w:ascii="Times New Roman" w:hAnsi="Times New Roman" w:eastAsia="宋体" w:cstheme="minorEastAsia"/>
                <w:b w:val="0"/>
                <w:bCs/>
                <w:sz w:val="22"/>
                <w:szCs w:val="22"/>
                <w:highlight w:val="none"/>
                <w:lang w:val="en-US" w:eastAsia="zh-CN"/>
              </w:rPr>
              <w:t>招标公告附件3各年龄阶段基准体检方案，本评分项得基础分10分，各年龄阶段每增加1项加1分，最高不超过15分；</w:t>
            </w:r>
          </w:p>
          <w:p w14:paraId="1056E5F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详见本项目招标公告 附件3《深圳市鹏劳人力资源管理有限公司2025年度员工健康体检项目体检方案及报价表》中各年龄阶段的体检方案。</w:t>
            </w:r>
          </w:p>
        </w:tc>
        <w:tc>
          <w:tcPr>
            <w:tcW w:w="421" w:type="pct"/>
            <w:tcBorders>
              <w:tl2br w:val="nil"/>
              <w:tr2bl w:val="nil"/>
            </w:tcBorders>
            <w:vAlign w:val="center"/>
          </w:tcPr>
          <w:p w14:paraId="7807AF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15分</w:t>
            </w:r>
          </w:p>
        </w:tc>
      </w:tr>
      <w:tr w14:paraId="0A68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381" w:type="pct"/>
            <w:tcBorders>
              <w:tl2br w:val="nil"/>
              <w:tr2bl w:val="nil"/>
            </w:tcBorders>
            <w:vAlign w:val="center"/>
          </w:tcPr>
          <w:p w14:paraId="655FF2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2</w:t>
            </w:r>
          </w:p>
        </w:tc>
        <w:tc>
          <w:tcPr>
            <w:tcW w:w="528" w:type="pct"/>
            <w:tcBorders>
              <w:tl2br w:val="nil"/>
              <w:tr2bl w:val="nil"/>
            </w:tcBorders>
            <w:vAlign w:val="center"/>
          </w:tcPr>
          <w:p w14:paraId="101860F8">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响应</w:t>
            </w:r>
          </w:p>
          <w:p w14:paraId="7EF52C83">
            <w:pPr>
              <w:keepNext w:val="0"/>
              <w:keepLines w:val="0"/>
              <w:pageBreakBefore w:val="0"/>
              <w:kinsoku/>
              <w:wordWrap/>
              <w:overflowPunct/>
              <w:topLinePunct w:val="0"/>
              <w:autoSpaceDE/>
              <w:autoSpaceDN/>
              <w:bidi w:val="0"/>
              <w:snapToGrid w:val="0"/>
              <w:spacing w:line="260" w:lineRule="exact"/>
              <w:jc w:val="center"/>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偏离</w:t>
            </w:r>
          </w:p>
        </w:tc>
        <w:tc>
          <w:tcPr>
            <w:tcW w:w="3669" w:type="pct"/>
            <w:tcBorders>
              <w:tl2br w:val="nil"/>
              <w:tr2bl w:val="nil"/>
            </w:tcBorders>
            <w:vAlign w:val="center"/>
          </w:tcPr>
          <w:p w14:paraId="76813E9B">
            <w:pPr>
              <w:keepNext w:val="0"/>
              <w:keepLines w:val="0"/>
              <w:pageBreakBefore w:val="0"/>
              <w:widowControl w:val="0"/>
              <w:shd w:val="clear" w:color="auto" w:fill="FFFFFF"/>
              <w:kinsoku/>
              <w:wordWrap w:val="0"/>
              <w:overflowPunct/>
              <w:topLinePunct/>
              <w:autoSpaceDE/>
              <w:autoSpaceDN/>
              <w:bidi w:val="0"/>
              <w:adjustRightInd/>
              <w:spacing w:line="280" w:lineRule="exact"/>
              <w:ind w:firstLine="0" w:firstLineChars="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仿宋_GB2312"/>
                <w:bCs/>
                <w:sz w:val="22"/>
                <w:szCs w:val="22"/>
                <w:highlight w:val="none"/>
              </w:rPr>
              <w:t>根据投标人填制的《招标文件响应偏离表》实施打分，具体如下：</w:t>
            </w:r>
          </w:p>
          <w:p w14:paraId="15364821">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对招标文件所有内容无偏离，此项得</w:t>
            </w:r>
            <w:r>
              <w:rPr>
                <w:rFonts w:hint="eastAsia" w:ascii="Times New Roman" w:hAnsi="Times New Roman" w:eastAsia="宋体" w:cs="仿宋_GB2312"/>
                <w:bCs/>
                <w:sz w:val="22"/>
                <w:szCs w:val="22"/>
                <w:highlight w:val="none"/>
                <w:lang w:val="en-US" w:eastAsia="zh-CN"/>
              </w:rPr>
              <w:t>5</w:t>
            </w:r>
            <w:r>
              <w:rPr>
                <w:rFonts w:hint="eastAsia" w:ascii="Times New Roman" w:hAnsi="Times New Roman" w:eastAsia="宋体" w:cs="仿宋_GB2312"/>
                <w:bCs/>
                <w:sz w:val="22"/>
                <w:szCs w:val="22"/>
                <w:highlight w:val="none"/>
              </w:rPr>
              <w:t>分；</w:t>
            </w:r>
          </w:p>
          <w:p w14:paraId="00AB432F">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每出现1项负偏离扣</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分，合计出现</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项及以上偏离，此项不得分；</w:t>
            </w:r>
          </w:p>
          <w:p w14:paraId="7B63DFBC">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每出现1项正偏离加</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分，最高不超过</w:t>
            </w:r>
            <w:r>
              <w:rPr>
                <w:rFonts w:hint="eastAsia" w:ascii="Times New Roman" w:hAnsi="Times New Roman" w:eastAsia="宋体" w:cs="仿宋_GB2312"/>
                <w:bCs/>
                <w:sz w:val="22"/>
                <w:szCs w:val="22"/>
                <w:highlight w:val="none"/>
                <w:lang w:val="en-US" w:eastAsia="zh-CN"/>
              </w:rPr>
              <w:t>5</w:t>
            </w:r>
            <w:r>
              <w:rPr>
                <w:rFonts w:hint="eastAsia" w:ascii="Times New Roman" w:hAnsi="Times New Roman" w:eastAsia="宋体" w:cs="仿宋_GB2312"/>
                <w:bCs/>
                <w:sz w:val="22"/>
                <w:szCs w:val="22"/>
                <w:highlight w:val="none"/>
              </w:rPr>
              <w:t>分；</w:t>
            </w:r>
          </w:p>
          <w:p w14:paraId="7D1A9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宋体"/>
                <w:b/>
                <w:bCs w:val="0"/>
                <w:sz w:val="20"/>
                <w:szCs w:val="20"/>
                <w:highlight w:val="none"/>
                <w:lang w:val="en-US" w:eastAsia="zh-CN"/>
              </w:rPr>
              <w:t>证明材料：</w:t>
            </w:r>
            <w:r>
              <w:rPr>
                <w:rFonts w:hint="eastAsia" w:ascii="Times New Roman" w:hAnsi="Times New Roman" w:eastAsia="宋体" w:cs="仿宋_GB2312"/>
                <w:b w:val="0"/>
                <w:bCs/>
                <w:sz w:val="22"/>
                <w:szCs w:val="22"/>
                <w:highlight w:val="none"/>
                <w:lang w:val="en-US" w:eastAsia="zh-CN"/>
              </w:rPr>
              <w:t>需</w:t>
            </w:r>
            <w:r>
              <w:rPr>
                <w:rFonts w:hint="eastAsia" w:ascii="Times New Roman" w:hAnsi="Times New Roman" w:eastAsia="宋体" w:cs="仿宋_GB2312"/>
                <w:b w:val="0"/>
                <w:bCs/>
                <w:sz w:val="22"/>
                <w:szCs w:val="22"/>
                <w:highlight w:val="none"/>
              </w:rPr>
              <w:t>提供</w:t>
            </w:r>
            <w:r>
              <w:rPr>
                <w:rFonts w:hint="eastAsia" w:ascii="Times New Roman" w:hAnsi="Times New Roman" w:eastAsia="宋体" w:cs="仿宋_GB2312"/>
                <w:bCs/>
                <w:sz w:val="22"/>
                <w:szCs w:val="22"/>
                <w:highlight w:val="none"/>
              </w:rPr>
              <w:t>的加盖投标人公章的</w:t>
            </w:r>
            <w:r>
              <w:rPr>
                <w:rFonts w:hint="eastAsia" w:ascii="Times New Roman" w:hAnsi="Times New Roman" w:eastAsia="宋体" w:cs="仿宋_GB2312"/>
                <w:bCs/>
                <w:sz w:val="22"/>
                <w:szCs w:val="22"/>
                <w:highlight w:val="none"/>
                <w:lang w:eastAsia="zh-CN"/>
              </w:rPr>
              <w:t>《</w:t>
            </w:r>
            <w:r>
              <w:rPr>
                <w:rFonts w:hint="eastAsia" w:ascii="Times New Roman" w:hAnsi="Times New Roman" w:eastAsia="宋体" w:cs="仿宋_GB2312"/>
                <w:bCs/>
                <w:sz w:val="22"/>
                <w:szCs w:val="22"/>
                <w:highlight w:val="none"/>
                <w:lang w:val="en-US" w:eastAsia="zh-CN"/>
              </w:rPr>
              <w:t>招标文件响应偏离表</w:t>
            </w:r>
            <w:r>
              <w:rPr>
                <w:rFonts w:hint="eastAsia" w:ascii="Times New Roman" w:hAnsi="Times New Roman" w:eastAsia="宋体" w:cs="仿宋_GB2312"/>
                <w:bCs/>
                <w:sz w:val="22"/>
                <w:szCs w:val="22"/>
                <w:highlight w:val="none"/>
                <w:lang w:eastAsia="zh-CN"/>
              </w:rPr>
              <w:t>》</w:t>
            </w:r>
            <w:r>
              <w:rPr>
                <w:rFonts w:hint="eastAsia" w:ascii="Times New Roman" w:hAnsi="Times New Roman" w:eastAsia="宋体" w:cs="仿宋_GB2312"/>
                <w:bCs/>
                <w:sz w:val="22"/>
                <w:szCs w:val="22"/>
                <w:highlight w:val="none"/>
                <w:lang w:val="en-US" w:eastAsia="zh-CN"/>
              </w:rPr>
              <w:t>作为评审依据。</w:t>
            </w:r>
            <w:r>
              <w:rPr>
                <w:rFonts w:hint="eastAsia" w:ascii="Times New Roman" w:hAnsi="Times New Roman" w:eastAsia="宋体" w:cs="仿宋_GB2312"/>
                <w:b w:val="0"/>
                <w:bCs/>
                <w:smallCaps w:val="0"/>
                <w:color w:val="auto"/>
                <w:sz w:val="22"/>
                <w:szCs w:val="22"/>
                <w:highlight w:val="none"/>
                <w:lang w:val="en-US" w:eastAsia="zh-CN"/>
              </w:rPr>
              <w:t xml:space="preserve">“格式参见本招标文件“第四章 投标文件格式 格式4 </w:t>
            </w:r>
            <w:r>
              <w:rPr>
                <w:rFonts w:hint="eastAsia" w:ascii="Times New Roman" w:hAnsi="Times New Roman" w:eastAsia="宋体" w:cs="仿宋_GB2312"/>
                <w:bCs/>
                <w:sz w:val="22"/>
                <w:szCs w:val="22"/>
                <w:highlight w:val="none"/>
                <w:lang w:val="en-US" w:eastAsia="zh-CN"/>
              </w:rPr>
              <w:t>招标文件响应情况偏离表</w:t>
            </w:r>
            <w:r>
              <w:rPr>
                <w:rFonts w:hint="eastAsia" w:ascii="Times New Roman" w:hAnsi="Times New Roman" w:eastAsia="宋体" w:cs="仿宋_GB2312"/>
                <w:b w:val="0"/>
                <w:bCs/>
                <w:smallCaps w:val="0"/>
                <w:color w:val="auto"/>
                <w:sz w:val="22"/>
                <w:szCs w:val="22"/>
                <w:highlight w:val="none"/>
                <w:lang w:val="en-US" w:eastAsia="zh-CN"/>
              </w:rPr>
              <w:t>”</w:t>
            </w:r>
            <w:r>
              <w:rPr>
                <w:rFonts w:hint="eastAsia" w:ascii="Times New Roman" w:hAnsi="Times New Roman" w:eastAsia="宋体" w:cstheme="minorEastAsia"/>
                <w:b w:val="0"/>
                <w:bCs/>
                <w:smallCaps w:val="0"/>
                <w:color w:val="auto"/>
                <w:sz w:val="20"/>
                <w:szCs w:val="20"/>
                <w:highlight w:val="none"/>
                <w:lang w:val="en-US" w:eastAsia="zh-CN"/>
              </w:rPr>
              <w:t>。</w:t>
            </w:r>
          </w:p>
        </w:tc>
        <w:tc>
          <w:tcPr>
            <w:tcW w:w="421" w:type="pct"/>
            <w:tcBorders>
              <w:tl2br w:val="nil"/>
              <w:tr2bl w:val="nil"/>
            </w:tcBorders>
            <w:vAlign w:val="center"/>
          </w:tcPr>
          <w:p w14:paraId="7B5998D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10分</w:t>
            </w:r>
          </w:p>
        </w:tc>
      </w:tr>
      <w:tr w14:paraId="54199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0" w:hRule="atLeast"/>
          <w:jc w:val="center"/>
        </w:trPr>
        <w:tc>
          <w:tcPr>
            <w:tcW w:w="381" w:type="pct"/>
            <w:tcBorders>
              <w:tl2br w:val="nil"/>
              <w:tr2bl w:val="nil"/>
            </w:tcBorders>
            <w:vAlign w:val="center"/>
          </w:tcPr>
          <w:p w14:paraId="6BAB0B6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w:t>
            </w:r>
          </w:p>
        </w:tc>
        <w:tc>
          <w:tcPr>
            <w:tcW w:w="528" w:type="pct"/>
            <w:tcBorders>
              <w:tl2br w:val="nil"/>
              <w:tr2bl w:val="nil"/>
            </w:tcBorders>
            <w:vAlign w:val="center"/>
          </w:tcPr>
          <w:p w14:paraId="325D50EE">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服务</w:t>
            </w:r>
          </w:p>
          <w:p w14:paraId="5218EF63">
            <w:pPr>
              <w:keepNext w:val="0"/>
              <w:keepLines w:val="0"/>
              <w:pageBreakBefore w:val="0"/>
              <w:kinsoku/>
              <w:wordWrap/>
              <w:overflowPunct/>
              <w:topLinePunct w:val="0"/>
              <w:autoSpaceDE/>
              <w:autoSpaceDN/>
              <w:bidi w:val="0"/>
              <w:snapToGrid w:val="0"/>
              <w:spacing w:line="260" w:lineRule="exact"/>
              <w:jc w:val="center"/>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方案</w:t>
            </w:r>
          </w:p>
        </w:tc>
        <w:tc>
          <w:tcPr>
            <w:tcW w:w="3669" w:type="pct"/>
            <w:tcBorders>
              <w:tl2br w:val="nil"/>
              <w:tr2bl w:val="nil"/>
            </w:tcBorders>
            <w:vAlign w:val="center"/>
          </w:tcPr>
          <w:p w14:paraId="14124358">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bCs w:val="0"/>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p>
          <w:p w14:paraId="3DFB7922">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1.根据投标人可投入本项目的服务方案（体检服务流程、体检服务规范标准、服务团队、服务门诊数量、服务设备仪器、增值服务、预约方式、体检报告查询方式、检后服务等）实施评分。</w:t>
            </w:r>
          </w:p>
          <w:p w14:paraId="67EEC861">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投标服务方案内包含上述内容的，得10分；如有缺少一项内容的，本项评审标准不得分。</w:t>
            </w:r>
          </w:p>
          <w:p w14:paraId="69094575">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2.若投标人的体检预约方式</w:t>
            </w:r>
            <w:r>
              <w:rPr>
                <w:rFonts w:hint="eastAsia" w:ascii="Times New Roman" w:hAnsi="Times New Roman" w:eastAsia="宋体" w:cstheme="minorEastAsia"/>
                <w:b w:val="0"/>
                <w:bCs/>
                <w:sz w:val="22"/>
                <w:szCs w:val="22"/>
                <w:highlight w:val="none"/>
              </w:rPr>
              <w:t>具有</w:t>
            </w:r>
            <w:r>
              <w:rPr>
                <w:rFonts w:hint="eastAsia" w:ascii="Times New Roman" w:hAnsi="Times New Roman" w:eastAsia="宋体" w:cstheme="minorEastAsia"/>
                <w:b w:val="0"/>
                <w:bCs/>
                <w:sz w:val="22"/>
                <w:szCs w:val="22"/>
                <w:highlight w:val="none"/>
                <w:lang w:val="en-US" w:eastAsia="zh-CN"/>
              </w:rPr>
              <w:t>固话及</w:t>
            </w:r>
            <w:r>
              <w:rPr>
                <w:rFonts w:hint="eastAsia" w:ascii="Times New Roman" w:hAnsi="Times New Roman" w:eastAsia="宋体" w:cstheme="minorEastAsia"/>
                <w:b w:val="0"/>
                <w:bCs/>
                <w:sz w:val="22"/>
                <w:szCs w:val="22"/>
                <w:highlight w:val="none"/>
              </w:rPr>
              <w:t>微信小程序</w:t>
            </w:r>
            <w:r>
              <w:rPr>
                <w:rFonts w:hint="eastAsia" w:ascii="Times New Roman" w:hAnsi="Times New Roman" w:eastAsia="宋体" w:cstheme="minorEastAsia"/>
                <w:b w:val="0"/>
                <w:bCs/>
                <w:sz w:val="22"/>
                <w:szCs w:val="22"/>
                <w:highlight w:val="none"/>
                <w:lang w:eastAsia="zh-CN"/>
              </w:rPr>
              <w:t>、服务号</w:t>
            </w:r>
            <w:r>
              <w:rPr>
                <w:rFonts w:hint="eastAsia" w:ascii="Times New Roman" w:hAnsi="Times New Roman" w:eastAsia="宋体" w:cstheme="minorEastAsia"/>
                <w:b w:val="0"/>
                <w:bCs/>
                <w:sz w:val="22"/>
                <w:szCs w:val="22"/>
                <w:highlight w:val="none"/>
              </w:rPr>
              <w:t>可用于</w:t>
            </w:r>
            <w:r>
              <w:rPr>
                <w:rFonts w:hint="eastAsia" w:ascii="Times New Roman" w:hAnsi="Times New Roman" w:eastAsia="宋体" w:cstheme="minorEastAsia"/>
                <w:b w:val="0"/>
                <w:bCs/>
                <w:sz w:val="22"/>
                <w:szCs w:val="22"/>
                <w:highlight w:val="none"/>
                <w:lang w:val="en-US" w:eastAsia="zh-CN"/>
              </w:rPr>
              <w:t>招标人员工</w:t>
            </w:r>
            <w:r>
              <w:rPr>
                <w:rFonts w:hint="eastAsia" w:ascii="Times New Roman" w:hAnsi="Times New Roman" w:eastAsia="宋体" w:cstheme="minorEastAsia"/>
                <w:b w:val="0"/>
                <w:bCs/>
                <w:sz w:val="22"/>
                <w:szCs w:val="22"/>
                <w:highlight w:val="none"/>
              </w:rPr>
              <w:t>健康体检线上预约</w:t>
            </w:r>
            <w:r>
              <w:rPr>
                <w:rFonts w:hint="eastAsia" w:ascii="Times New Roman" w:hAnsi="Times New Roman" w:eastAsia="宋体" w:cstheme="minorEastAsia"/>
                <w:b w:val="0"/>
                <w:bCs/>
                <w:sz w:val="22"/>
                <w:szCs w:val="22"/>
                <w:highlight w:val="none"/>
                <w:lang w:eastAsia="zh-CN"/>
              </w:rPr>
              <w:t>（</w:t>
            </w:r>
            <w:r>
              <w:rPr>
                <w:rFonts w:hint="eastAsia" w:ascii="Times New Roman" w:hAnsi="Times New Roman" w:eastAsia="宋体" w:cstheme="minorEastAsia"/>
                <w:b w:val="0"/>
                <w:bCs/>
                <w:sz w:val="22"/>
                <w:szCs w:val="22"/>
                <w:highlight w:val="none"/>
              </w:rPr>
              <w:t>可随时提供预约服务的</w:t>
            </w:r>
            <w:r>
              <w:rPr>
                <w:rFonts w:hint="eastAsia" w:ascii="Times New Roman" w:hAnsi="Times New Roman" w:eastAsia="宋体" w:cstheme="minorEastAsia"/>
                <w:b w:val="0"/>
                <w:bCs/>
                <w:sz w:val="22"/>
                <w:szCs w:val="22"/>
                <w:highlight w:val="none"/>
                <w:lang w:val="en-US" w:eastAsia="zh-CN"/>
              </w:rPr>
              <w:t>)，加3分，不满足的不得分。</w:t>
            </w:r>
          </w:p>
          <w:p w14:paraId="0F0AC96D">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3.若投标人的体检报告查询方式具有线上电子健康档案信息与体检报告数据查询功能，并具有纸质版体检报告的，加3分，不满足的不得分。</w:t>
            </w:r>
          </w:p>
          <w:p w14:paraId="41C7D96F">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eastAsia="zh-CN"/>
              </w:rPr>
            </w:pPr>
            <w:r>
              <w:rPr>
                <w:rFonts w:hint="eastAsia" w:ascii="Times New Roman" w:hAnsi="Times New Roman" w:eastAsia="宋体" w:cstheme="minorEastAsia"/>
                <w:b w:val="0"/>
                <w:bCs/>
                <w:sz w:val="22"/>
                <w:szCs w:val="22"/>
                <w:highlight w:val="none"/>
                <w:lang w:val="en-US" w:eastAsia="zh-CN"/>
              </w:rPr>
              <w:t>4.若投标人的</w:t>
            </w:r>
            <w:r>
              <w:rPr>
                <w:rFonts w:hint="eastAsia" w:ascii="Times New Roman" w:hAnsi="Times New Roman" w:eastAsia="宋体" w:cs="楷体_GB2312"/>
                <w:b w:val="0"/>
                <w:bCs/>
                <w:sz w:val="22"/>
                <w:szCs w:val="22"/>
                <w:highlight w:val="none"/>
                <w:lang w:val="en-US" w:eastAsia="zh-CN"/>
              </w:rPr>
              <w:t>检后服务具备</w:t>
            </w:r>
            <w:r>
              <w:rPr>
                <w:rFonts w:hint="eastAsia" w:ascii="Times New Roman" w:hAnsi="Times New Roman" w:eastAsia="宋体" w:cstheme="minorEastAsia"/>
                <w:b w:val="0"/>
                <w:bCs/>
                <w:sz w:val="22"/>
                <w:szCs w:val="22"/>
                <w:highlight w:val="none"/>
              </w:rPr>
              <w:t>固定客服电话，有专业医务人员提供检后咨询解答服务</w:t>
            </w:r>
            <w:r>
              <w:rPr>
                <w:rFonts w:hint="eastAsia" w:ascii="Times New Roman" w:hAnsi="Times New Roman" w:eastAsia="宋体" w:cstheme="minorEastAsia"/>
                <w:b w:val="0"/>
                <w:bCs/>
                <w:sz w:val="22"/>
                <w:szCs w:val="22"/>
                <w:highlight w:val="none"/>
                <w:lang w:val="en-US" w:eastAsia="zh-CN"/>
              </w:rPr>
              <w:t>的，加3分，不满足不得分</w:t>
            </w:r>
            <w:r>
              <w:rPr>
                <w:rFonts w:hint="eastAsia" w:ascii="Times New Roman" w:hAnsi="Times New Roman" w:eastAsia="宋体" w:cstheme="minorEastAsia"/>
                <w:b w:val="0"/>
                <w:bCs/>
                <w:sz w:val="22"/>
                <w:szCs w:val="22"/>
                <w:highlight w:val="none"/>
                <w:lang w:eastAsia="zh-CN"/>
              </w:rPr>
              <w:t>。</w:t>
            </w:r>
          </w:p>
          <w:p w14:paraId="693943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5.在上述基础上，投标人对应体检项目有技术更新需于招标公告附件3体检方案备注栏进行说明，简要说明技术更新要点及对体检提升作用的。每提供一项加3分，最高不超过6分。</w:t>
            </w:r>
          </w:p>
          <w:p w14:paraId="25E8EB3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6.综合以上投标人可投入本项目的服务方案的完整性、先进性实施横向评分。</w:t>
            </w:r>
          </w:p>
          <w:p w14:paraId="4FFD9A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优秀的，得8-10分，良好的，得5-7分，其余不得分。</w:t>
            </w:r>
          </w:p>
          <w:p w14:paraId="6C7ACAFA">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bCs w:val="0"/>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p>
          <w:p w14:paraId="330535A5">
            <w:pPr>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根据投标人投标文件中提供本项目的服务方案、体检方案内容实施评分。</w:t>
            </w:r>
          </w:p>
          <w:p w14:paraId="3ED56B0C">
            <w:pPr>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投标人服务方案内必须包含同类业绩合作的情况，如未提供服务方案将不得分。</w:t>
            </w:r>
          </w:p>
        </w:tc>
        <w:tc>
          <w:tcPr>
            <w:tcW w:w="421" w:type="pct"/>
            <w:tcBorders>
              <w:tl2br w:val="nil"/>
              <w:tr2bl w:val="nil"/>
            </w:tcBorders>
            <w:vAlign w:val="center"/>
          </w:tcPr>
          <w:p w14:paraId="5AABBCF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35分</w:t>
            </w:r>
          </w:p>
        </w:tc>
      </w:tr>
      <w:tr w14:paraId="4586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381" w:type="pct"/>
            <w:tcBorders>
              <w:tl2br w:val="nil"/>
              <w:tr2bl w:val="nil"/>
            </w:tcBorders>
            <w:vAlign w:val="center"/>
          </w:tcPr>
          <w:p w14:paraId="4EAC9A7B">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eastAsia="zh-CN"/>
              </w:rPr>
            </w:pPr>
            <w:r>
              <w:rPr>
                <w:rFonts w:hint="eastAsia" w:ascii="Times New Roman" w:hAnsi="Times New Roman" w:eastAsia="宋体" w:cstheme="minorEastAsia"/>
                <w:b w:val="0"/>
                <w:bCs/>
                <w:sz w:val="24"/>
                <w:szCs w:val="24"/>
                <w:highlight w:val="none"/>
                <w:lang w:val="en-US" w:eastAsia="zh-CN"/>
              </w:rPr>
              <w:t>4</w:t>
            </w:r>
          </w:p>
        </w:tc>
        <w:tc>
          <w:tcPr>
            <w:tcW w:w="528" w:type="pct"/>
            <w:tcBorders>
              <w:tl2br w:val="nil"/>
              <w:tr2bl w:val="nil"/>
            </w:tcBorders>
            <w:vAlign w:val="center"/>
          </w:tcPr>
          <w:p w14:paraId="6416C60D">
            <w:pPr>
              <w:keepNext w:val="0"/>
              <w:keepLines w:val="0"/>
              <w:pageBreakBefore w:val="0"/>
              <w:kinsoku/>
              <w:wordWrap/>
              <w:overflowPunct/>
              <w:topLinePunct w:val="0"/>
              <w:autoSpaceDE/>
              <w:autoSpaceDN/>
              <w:bidi w:val="0"/>
              <w:snapToGrid w:val="0"/>
              <w:spacing w:line="260" w:lineRule="exact"/>
              <w:jc w:val="center"/>
              <w:textAlignment w:val="auto"/>
              <w:rPr>
                <w:rStyle w:val="20"/>
                <w:rFonts w:hint="eastAsia" w:ascii="Times New Roman" w:hAnsi="Times New Roman" w:eastAsia="宋体" w:cstheme="minorEastAsia"/>
                <w:b w:val="0"/>
                <w:bCs/>
                <w:sz w:val="22"/>
                <w:szCs w:val="22"/>
                <w:highlight w:val="none"/>
              </w:rPr>
            </w:pPr>
            <w:r>
              <w:rPr>
                <w:rStyle w:val="20"/>
                <w:rFonts w:hint="eastAsia" w:ascii="Times New Roman" w:hAnsi="Times New Roman" w:eastAsia="宋体" w:cstheme="minorEastAsia"/>
                <w:b w:val="0"/>
                <w:bCs/>
                <w:sz w:val="22"/>
                <w:szCs w:val="22"/>
                <w:highlight w:val="none"/>
              </w:rPr>
              <w:t>员工</w:t>
            </w:r>
            <w:r>
              <w:rPr>
                <w:rStyle w:val="20"/>
                <w:rFonts w:hint="eastAsia" w:ascii="Times New Roman" w:hAnsi="Times New Roman" w:eastAsia="宋体" w:cstheme="minorEastAsia"/>
                <w:b w:val="0"/>
                <w:bCs/>
                <w:sz w:val="22"/>
                <w:szCs w:val="22"/>
                <w:highlight w:val="none"/>
                <w:lang w:eastAsia="zh-CN"/>
              </w:rPr>
              <w:t>自费检查</w:t>
            </w:r>
            <w:r>
              <w:rPr>
                <w:rStyle w:val="20"/>
                <w:rFonts w:hint="eastAsia" w:ascii="Times New Roman" w:hAnsi="Times New Roman" w:eastAsia="宋体" w:cstheme="minorEastAsia"/>
                <w:b w:val="0"/>
                <w:bCs/>
                <w:sz w:val="22"/>
                <w:szCs w:val="22"/>
                <w:highlight w:val="none"/>
              </w:rPr>
              <w:t>优惠服务</w:t>
            </w:r>
          </w:p>
        </w:tc>
        <w:tc>
          <w:tcPr>
            <w:tcW w:w="3669" w:type="pct"/>
            <w:tcBorders>
              <w:tl2br w:val="nil"/>
              <w:tr2bl w:val="nil"/>
            </w:tcBorders>
            <w:vAlign w:val="center"/>
          </w:tcPr>
          <w:p w14:paraId="5CA72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sz w:val="22"/>
                <w:szCs w:val="22"/>
                <w:highlight w:val="none"/>
                <w:lang w:val="en-US" w:eastAsia="zh-CN"/>
              </w:rPr>
              <w:t>如</w:t>
            </w:r>
            <w:r>
              <w:rPr>
                <w:rFonts w:hint="eastAsia" w:ascii="Times New Roman" w:hAnsi="Times New Roman" w:eastAsia="宋体" w:cstheme="minorEastAsia"/>
                <w:b w:val="0"/>
                <w:bCs/>
                <w:sz w:val="22"/>
                <w:szCs w:val="22"/>
                <w:highlight w:val="none"/>
                <w:lang w:eastAsia="zh-CN"/>
              </w:rPr>
              <w:t>招标人员工自费加检非医保项目，投标人</w:t>
            </w:r>
            <w:r>
              <w:rPr>
                <w:rFonts w:hint="eastAsia" w:ascii="Times New Roman" w:hAnsi="Times New Roman" w:eastAsia="宋体" w:cstheme="minorEastAsia"/>
                <w:b w:val="0"/>
                <w:bCs/>
                <w:sz w:val="22"/>
                <w:szCs w:val="22"/>
                <w:highlight w:val="none"/>
                <w:lang w:val="en-US" w:eastAsia="zh-CN"/>
              </w:rPr>
              <w:t>按照投标人医院</w:t>
            </w:r>
            <w:r>
              <w:rPr>
                <w:rFonts w:hint="eastAsia" w:ascii="Times New Roman" w:hAnsi="Times New Roman" w:eastAsia="宋体" w:cstheme="minorEastAsia"/>
                <w:b w:val="0"/>
                <w:bCs/>
                <w:sz w:val="22"/>
                <w:szCs w:val="22"/>
                <w:highlight w:val="none"/>
                <w:lang w:eastAsia="zh-CN"/>
              </w:rPr>
              <w:t>体检市价给予</w:t>
            </w:r>
            <w:r>
              <w:rPr>
                <w:rFonts w:hint="eastAsia" w:ascii="Times New Roman" w:hAnsi="Times New Roman" w:eastAsia="宋体" w:cstheme="minorEastAsia"/>
                <w:b w:val="0"/>
                <w:bCs/>
                <w:sz w:val="22"/>
                <w:szCs w:val="22"/>
                <w:highlight w:val="none"/>
              </w:rPr>
              <w:t>折扣</w:t>
            </w:r>
            <w:r>
              <w:rPr>
                <w:rFonts w:hint="eastAsia" w:ascii="Times New Roman" w:hAnsi="Times New Roman" w:eastAsia="宋体" w:cstheme="minorEastAsia"/>
                <w:b w:val="0"/>
                <w:bCs/>
                <w:sz w:val="22"/>
                <w:szCs w:val="22"/>
                <w:highlight w:val="none"/>
                <w:lang w:val="en-US" w:eastAsia="zh-CN"/>
              </w:rPr>
              <w:t>的</w:t>
            </w:r>
            <w:r>
              <w:rPr>
                <w:rFonts w:hint="eastAsia" w:ascii="Times New Roman" w:hAnsi="Times New Roman" w:eastAsia="宋体" w:cstheme="minorEastAsia"/>
                <w:b w:val="0"/>
                <w:bCs/>
                <w:sz w:val="22"/>
                <w:szCs w:val="22"/>
                <w:highlight w:val="none"/>
              </w:rPr>
              <w:t>，</w:t>
            </w:r>
            <w:r>
              <w:rPr>
                <w:rFonts w:hint="eastAsia" w:ascii="Times New Roman" w:hAnsi="Times New Roman" w:eastAsia="宋体" w:cstheme="minorEastAsia"/>
                <w:b w:val="0"/>
                <w:bCs/>
                <w:sz w:val="22"/>
                <w:szCs w:val="22"/>
                <w:highlight w:val="none"/>
                <w:lang w:eastAsia="zh-CN"/>
              </w:rPr>
              <w:t>折扣比例最</w:t>
            </w:r>
            <w:r>
              <w:rPr>
                <w:rFonts w:hint="eastAsia" w:ascii="Times New Roman" w:hAnsi="Times New Roman" w:eastAsia="宋体" w:cstheme="minorEastAsia"/>
                <w:b w:val="0"/>
                <w:bCs/>
                <w:sz w:val="22"/>
                <w:szCs w:val="22"/>
                <w:highlight w:val="none"/>
                <w:lang w:val="en-US" w:eastAsia="zh-CN"/>
              </w:rPr>
              <w:t>优惠的</w:t>
            </w:r>
            <w:r>
              <w:rPr>
                <w:rFonts w:hint="eastAsia" w:ascii="Times New Roman" w:hAnsi="Times New Roman" w:eastAsia="宋体" w:cstheme="minorEastAsia"/>
                <w:b w:val="0"/>
                <w:bCs/>
                <w:sz w:val="22"/>
                <w:szCs w:val="22"/>
                <w:highlight w:val="none"/>
                <w:lang w:eastAsia="zh-CN"/>
              </w:rPr>
              <w:t>得</w:t>
            </w:r>
            <w:r>
              <w:rPr>
                <w:rFonts w:hint="eastAsia" w:ascii="Times New Roman" w:hAnsi="Times New Roman" w:eastAsia="宋体" w:cstheme="minorEastAsia"/>
                <w:b w:val="0"/>
                <w:bCs/>
                <w:sz w:val="22"/>
                <w:szCs w:val="22"/>
                <w:highlight w:val="none"/>
                <w:lang w:val="en-US" w:eastAsia="zh-CN"/>
              </w:rPr>
              <w:t>10</w:t>
            </w:r>
            <w:r>
              <w:rPr>
                <w:rFonts w:hint="eastAsia" w:ascii="Times New Roman" w:hAnsi="Times New Roman" w:eastAsia="宋体" w:cstheme="minorEastAsia"/>
                <w:b w:val="0"/>
                <w:bCs/>
                <w:sz w:val="22"/>
                <w:szCs w:val="22"/>
                <w:highlight w:val="none"/>
                <w:lang w:eastAsia="zh-CN"/>
              </w:rPr>
              <w:t>分</w:t>
            </w:r>
            <w:r>
              <w:rPr>
                <w:rFonts w:hint="eastAsia" w:ascii="Times New Roman" w:hAnsi="Times New Roman" w:eastAsia="宋体" w:cstheme="minorEastAsia"/>
                <w:b w:val="0"/>
                <w:bCs/>
                <w:sz w:val="22"/>
                <w:szCs w:val="22"/>
                <w:highlight w:val="none"/>
              </w:rPr>
              <w:t>，</w:t>
            </w:r>
            <w:r>
              <w:rPr>
                <w:rFonts w:hint="eastAsia" w:ascii="Times New Roman" w:hAnsi="Times New Roman" w:eastAsia="宋体" w:cstheme="minorEastAsia"/>
                <w:b w:val="0"/>
                <w:bCs/>
                <w:sz w:val="22"/>
                <w:szCs w:val="22"/>
                <w:highlight w:val="none"/>
                <w:lang w:val="en-US" w:eastAsia="zh-CN"/>
              </w:rPr>
              <w:t>次低得8分，按照2分步长以此类推（折扣相同为排名同等级，得分相同）。</w:t>
            </w:r>
          </w:p>
          <w:p w14:paraId="6EE7C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根据投标人提供的对外</w:t>
            </w:r>
            <w:r>
              <w:rPr>
                <w:rFonts w:hint="eastAsia" w:ascii="Times New Roman" w:hAnsi="Times New Roman" w:eastAsia="宋体" w:cstheme="minorEastAsia"/>
                <w:b w:val="0"/>
                <w:bCs/>
                <w:sz w:val="22"/>
                <w:szCs w:val="22"/>
                <w:highlight w:val="none"/>
                <w:lang w:eastAsia="zh-CN"/>
              </w:rPr>
              <w:t>体检</w:t>
            </w:r>
            <w:r>
              <w:rPr>
                <w:rFonts w:hint="eastAsia" w:ascii="Times New Roman" w:hAnsi="Times New Roman" w:eastAsia="宋体" w:cstheme="minorEastAsia"/>
                <w:b w:val="0"/>
                <w:bCs/>
                <w:sz w:val="22"/>
                <w:szCs w:val="22"/>
                <w:highlight w:val="none"/>
                <w:lang w:val="en-US" w:eastAsia="zh-CN"/>
              </w:rPr>
              <w:t>项目统一门市价格表及给予本项目折扣情况进行评分。投标人需提供《服务保价承诺函》，格式详见本项目招标文件附件6《服务保价承诺函》。</w:t>
            </w:r>
          </w:p>
        </w:tc>
        <w:tc>
          <w:tcPr>
            <w:tcW w:w="421" w:type="pct"/>
            <w:tcBorders>
              <w:tl2br w:val="nil"/>
              <w:tr2bl w:val="nil"/>
            </w:tcBorders>
            <w:vAlign w:val="center"/>
          </w:tcPr>
          <w:p w14:paraId="5971FF6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val="0"/>
                <w:bCs/>
                <w:sz w:val="24"/>
                <w:szCs w:val="24"/>
                <w:highlight w:val="none"/>
                <w:lang w:val="en-US" w:eastAsia="zh-CN"/>
              </w:rPr>
              <w:t>10</w:t>
            </w:r>
            <w:r>
              <w:rPr>
                <w:rFonts w:hint="eastAsia" w:ascii="Times New Roman" w:hAnsi="Times New Roman" w:eastAsia="宋体" w:cstheme="minorEastAsia"/>
                <w:b w:val="0"/>
                <w:bCs/>
                <w:sz w:val="24"/>
                <w:szCs w:val="24"/>
                <w:highlight w:val="none"/>
              </w:rPr>
              <w:t>分</w:t>
            </w:r>
          </w:p>
        </w:tc>
      </w:tr>
      <w:tr w14:paraId="5891B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67" w:hRule="atLeast"/>
          <w:jc w:val="center"/>
        </w:trPr>
        <w:tc>
          <w:tcPr>
            <w:tcW w:w="381" w:type="pct"/>
            <w:tcBorders>
              <w:tl2br w:val="nil"/>
              <w:tr2bl w:val="nil"/>
            </w:tcBorders>
            <w:vAlign w:val="center"/>
          </w:tcPr>
          <w:p w14:paraId="20692C4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5</w:t>
            </w:r>
          </w:p>
        </w:tc>
        <w:tc>
          <w:tcPr>
            <w:tcW w:w="528" w:type="pct"/>
            <w:tcBorders>
              <w:tl2br w:val="nil"/>
              <w:tr2bl w:val="nil"/>
            </w:tcBorders>
            <w:vAlign w:val="center"/>
          </w:tcPr>
          <w:p w14:paraId="71610715">
            <w:pPr>
              <w:keepNext w:val="0"/>
              <w:keepLines w:val="0"/>
              <w:pageBreakBefore w:val="0"/>
              <w:kinsoku/>
              <w:wordWrap/>
              <w:overflowPunct/>
              <w:topLinePunct w:val="0"/>
              <w:autoSpaceDE/>
              <w:autoSpaceDN/>
              <w:bidi w:val="0"/>
              <w:snapToGrid w:val="0"/>
              <w:spacing w:line="260" w:lineRule="exact"/>
              <w:jc w:val="center"/>
              <w:textAlignment w:val="auto"/>
              <w:rPr>
                <w:rStyle w:val="20"/>
                <w:rFonts w:hint="eastAsia" w:ascii="Times New Roman" w:hAnsi="Times New Roman" w:eastAsia="宋体" w:cstheme="minorEastAsia"/>
                <w:b w:val="0"/>
                <w:bCs/>
                <w:sz w:val="22"/>
                <w:szCs w:val="22"/>
                <w:highlight w:val="none"/>
              </w:rPr>
            </w:pPr>
            <w:r>
              <w:rPr>
                <w:rStyle w:val="20"/>
                <w:rFonts w:hint="eastAsia" w:ascii="Times New Roman" w:hAnsi="Times New Roman" w:eastAsia="宋体" w:cstheme="minorEastAsia"/>
                <w:b w:val="0"/>
                <w:bCs/>
                <w:sz w:val="22"/>
                <w:szCs w:val="22"/>
                <w:highlight w:val="none"/>
                <w:lang w:val="en-US" w:eastAsia="zh-CN"/>
              </w:rPr>
              <w:t>地理位置便利性</w:t>
            </w:r>
          </w:p>
        </w:tc>
        <w:tc>
          <w:tcPr>
            <w:tcW w:w="3669" w:type="pct"/>
            <w:tcBorders>
              <w:tl2br w:val="nil"/>
              <w:tr2bl w:val="nil"/>
            </w:tcBorders>
            <w:vAlign w:val="center"/>
          </w:tcPr>
          <w:p w14:paraId="0D60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i w:val="0"/>
                <w:iCs w:val="0"/>
                <w:sz w:val="22"/>
                <w:szCs w:val="22"/>
                <w:highlight w:val="none"/>
                <w:lang w:val="en-US" w:eastAsia="zh-CN"/>
              </w:rPr>
              <w:t>根据</w:t>
            </w:r>
            <w:r>
              <w:rPr>
                <w:rFonts w:hint="eastAsia" w:ascii="Times New Roman" w:hAnsi="Times New Roman" w:eastAsia="宋体" w:cstheme="minorEastAsia"/>
                <w:bCs/>
                <w:sz w:val="22"/>
                <w:szCs w:val="22"/>
                <w:highlight w:val="none"/>
              </w:rPr>
              <w:t>投标人</w:t>
            </w:r>
            <w:r>
              <w:rPr>
                <w:rFonts w:hint="eastAsia" w:ascii="Times New Roman" w:hAnsi="Times New Roman" w:eastAsia="宋体" w:cstheme="minorEastAsia"/>
                <w:bCs/>
                <w:sz w:val="22"/>
                <w:szCs w:val="22"/>
                <w:highlight w:val="none"/>
                <w:lang w:val="en-US" w:eastAsia="zh-CN"/>
              </w:rPr>
              <w:t>可为本项目</w:t>
            </w:r>
            <w:r>
              <w:rPr>
                <w:rFonts w:hint="eastAsia" w:ascii="Times New Roman" w:hAnsi="Times New Roman" w:eastAsia="宋体" w:cstheme="minorEastAsia"/>
                <w:bCs/>
                <w:sz w:val="22"/>
                <w:szCs w:val="22"/>
                <w:highlight w:val="none"/>
              </w:rPr>
              <w:t>实施服务门诊</w:t>
            </w:r>
            <w:r>
              <w:rPr>
                <w:rFonts w:hint="eastAsia" w:ascii="Times New Roman" w:hAnsi="Times New Roman" w:eastAsia="宋体" w:cstheme="minorEastAsia"/>
                <w:bCs/>
                <w:sz w:val="22"/>
                <w:szCs w:val="22"/>
                <w:highlight w:val="none"/>
                <w:lang w:val="en-US" w:eastAsia="zh-CN"/>
              </w:rPr>
              <w:t>机构个数，及各门诊</w:t>
            </w:r>
            <w:r>
              <w:rPr>
                <w:rFonts w:hint="eastAsia" w:ascii="Times New Roman" w:hAnsi="Times New Roman" w:eastAsia="宋体" w:cstheme="minorEastAsia"/>
                <w:bCs/>
                <w:sz w:val="22"/>
                <w:szCs w:val="22"/>
                <w:highlight w:val="none"/>
              </w:rPr>
              <w:t>至</w:t>
            </w:r>
            <w:r>
              <w:rPr>
                <w:rFonts w:hint="eastAsia" w:ascii="Times New Roman" w:hAnsi="Times New Roman" w:eastAsia="宋体" w:cstheme="minorEastAsia"/>
                <w:bCs/>
                <w:sz w:val="22"/>
                <w:szCs w:val="22"/>
                <w:highlight w:val="none"/>
                <w:lang w:val="en-US" w:eastAsia="zh-CN"/>
              </w:rPr>
              <w:t>招标人办公地址</w:t>
            </w:r>
            <w:r>
              <w:rPr>
                <w:rFonts w:hint="eastAsia" w:ascii="Times New Roman" w:hAnsi="Times New Roman" w:eastAsia="宋体" w:cstheme="minorEastAsia"/>
                <w:bCs/>
                <w:sz w:val="22"/>
                <w:szCs w:val="22"/>
                <w:highlight w:val="none"/>
              </w:rPr>
              <w:t>直线距离</w:t>
            </w:r>
            <w:r>
              <w:rPr>
                <w:rFonts w:hint="eastAsia" w:ascii="Times New Roman" w:hAnsi="Times New Roman" w:eastAsia="宋体" w:cstheme="minorEastAsia"/>
                <w:bCs/>
                <w:sz w:val="22"/>
                <w:szCs w:val="22"/>
                <w:highlight w:val="none"/>
                <w:lang w:val="en-US" w:eastAsia="zh-CN"/>
              </w:rPr>
              <w:t>进行评分：</w:t>
            </w:r>
          </w:p>
          <w:p w14:paraId="40A6867D">
            <w:pPr>
              <w:keepNext w:val="0"/>
              <w:keepLines w:val="0"/>
              <w:pageBreakBefore w:val="0"/>
              <w:widowControl/>
              <w:numPr>
                <w:ilvl w:val="0"/>
                <w:numId w:val="9"/>
              </w:numPr>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仿宋_GB2312"/>
                <w:b w:val="0"/>
                <w:bCs/>
                <w:sz w:val="22"/>
                <w:szCs w:val="22"/>
                <w:highlight w:val="none"/>
                <w:lang w:val="en-US" w:eastAsia="zh-CN"/>
              </w:rPr>
              <w:t xml:space="preserve"> 每服务门诊直</w:t>
            </w:r>
            <w:r>
              <w:rPr>
                <w:rFonts w:hint="eastAsia" w:ascii="Times New Roman" w:hAnsi="Times New Roman" w:eastAsia="宋体" w:cstheme="minorEastAsia"/>
                <w:bCs/>
                <w:sz w:val="22"/>
                <w:szCs w:val="22"/>
                <w:highlight w:val="none"/>
                <w:lang w:val="en-US" w:eastAsia="zh-CN"/>
              </w:rPr>
              <w:t>线距离</w:t>
            </w:r>
            <w:r>
              <w:rPr>
                <w:rFonts w:hint="eastAsia" w:ascii="Times New Roman" w:hAnsi="Times New Roman" w:eastAsia="宋体" w:cs="微软雅黑"/>
                <w:b w:val="0"/>
                <w:bCs/>
                <w:sz w:val="22"/>
                <w:szCs w:val="22"/>
                <w:highlight w:val="none"/>
                <w:lang w:val="en-US" w:eastAsia="zh-CN"/>
              </w:rPr>
              <w:t>&lt;</w:t>
            </w:r>
            <w:r>
              <w:rPr>
                <w:rFonts w:hint="eastAsia" w:ascii="Times New Roman" w:hAnsi="Times New Roman" w:eastAsia="宋体" w:cstheme="minorEastAsia"/>
                <w:bCs/>
                <w:sz w:val="22"/>
                <w:szCs w:val="22"/>
                <w:highlight w:val="none"/>
                <w:lang w:val="en-US" w:eastAsia="zh-CN"/>
              </w:rPr>
              <w:t>3.5</w:t>
            </w:r>
            <w:r>
              <w:rPr>
                <w:rFonts w:hint="eastAsia" w:ascii="Times New Roman" w:hAnsi="Times New Roman" w:eastAsia="宋体" w:cstheme="minorEastAsia"/>
                <w:bCs/>
                <w:sz w:val="22"/>
                <w:szCs w:val="22"/>
                <w:highlight w:val="none"/>
              </w:rPr>
              <w:t>公里</w:t>
            </w:r>
            <w:r>
              <w:rPr>
                <w:rFonts w:hint="eastAsia" w:ascii="Times New Roman" w:hAnsi="Times New Roman" w:eastAsia="宋体" w:cstheme="minorEastAsia"/>
                <w:bCs/>
                <w:sz w:val="22"/>
                <w:szCs w:val="22"/>
                <w:highlight w:val="none"/>
                <w:lang w:val="en-US" w:eastAsia="zh-CN"/>
              </w:rPr>
              <w:t>的，各</w:t>
            </w:r>
            <w:r>
              <w:rPr>
                <w:rFonts w:hint="eastAsia" w:ascii="Times New Roman" w:hAnsi="Times New Roman" w:eastAsia="宋体" w:cstheme="minorEastAsia"/>
                <w:bCs/>
                <w:sz w:val="22"/>
                <w:szCs w:val="22"/>
                <w:highlight w:val="none"/>
              </w:rPr>
              <w:t>得</w:t>
            </w:r>
            <w:r>
              <w:rPr>
                <w:rFonts w:hint="eastAsia" w:ascii="Times New Roman" w:hAnsi="Times New Roman" w:eastAsia="宋体" w:cstheme="minorEastAsia"/>
                <w:bCs/>
                <w:sz w:val="22"/>
                <w:szCs w:val="22"/>
                <w:highlight w:val="none"/>
                <w:lang w:val="en-US" w:eastAsia="zh-CN"/>
              </w:rPr>
              <w:t>10</w:t>
            </w:r>
            <w:r>
              <w:rPr>
                <w:rFonts w:hint="eastAsia" w:ascii="Times New Roman" w:hAnsi="Times New Roman" w:eastAsia="宋体" w:cstheme="minorEastAsia"/>
                <w:bCs/>
                <w:sz w:val="22"/>
                <w:szCs w:val="22"/>
                <w:highlight w:val="none"/>
              </w:rPr>
              <w:t>分</w:t>
            </w:r>
            <w:r>
              <w:rPr>
                <w:rFonts w:hint="eastAsia" w:ascii="Times New Roman" w:hAnsi="Times New Roman" w:eastAsia="宋体" w:cstheme="minorEastAsia"/>
                <w:bCs/>
                <w:sz w:val="22"/>
                <w:szCs w:val="22"/>
                <w:highlight w:val="none"/>
                <w:lang w:eastAsia="zh-CN"/>
              </w:rPr>
              <w:t>；</w:t>
            </w:r>
          </w:p>
          <w:p w14:paraId="49E4E58F">
            <w:pPr>
              <w:keepNext w:val="0"/>
              <w:keepLines w:val="0"/>
              <w:pageBreakBefore w:val="0"/>
              <w:widowControl/>
              <w:numPr>
                <w:ilvl w:val="0"/>
                <w:numId w:val="9"/>
              </w:numPr>
              <w:kinsoku/>
              <w:wordWrap/>
              <w:overflowPunct/>
              <w:topLinePunct w:val="0"/>
              <w:autoSpaceDE/>
              <w:autoSpaceDN/>
              <w:bidi w:val="0"/>
              <w:adjustRightInd/>
              <w:snapToGrid/>
              <w:spacing w:line="260" w:lineRule="exact"/>
              <w:ind w:left="0" w:leftChars="0" w:firstLine="440" w:firstLineChars="200"/>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Times New Roman"/>
                <w:b w:val="0"/>
                <w:bCs/>
                <w:sz w:val="22"/>
                <w:szCs w:val="22"/>
                <w:highlight w:val="none"/>
                <w:lang w:val="en-US" w:eastAsia="zh-CN"/>
              </w:rPr>
              <w:t xml:space="preserve"> 3.5</w:t>
            </w:r>
            <w:r>
              <w:rPr>
                <w:rFonts w:hint="eastAsia" w:ascii="Times New Roman" w:hAnsi="Times New Roman" w:eastAsia="宋体" w:cstheme="minorEastAsia"/>
                <w:bCs/>
                <w:sz w:val="22"/>
                <w:szCs w:val="22"/>
                <w:highlight w:val="none"/>
                <w:lang w:val="en-US" w:eastAsia="zh-CN"/>
              </w:rPr>
              <w:t>公里</w:t>
            </w:r>
            <w:r>
              <w:rPr>
                <w:rFonts w:hint="eastAsia" w:ascii="Times New Roman" w:hAnsi="Times New Roman" w:eastAsia="宋体" w:cs="微软雅黑"/>
                <w:b w:val="0"/>
                <w:bCs/>
                <w:sz w:val="22"/>
                <w:szCs w:val="22"/>
                <w:highlight w:val="none"/>
                <w:lang w:val="en-US" w:eastAsia="zh-CN"/>
              </w:rPr>
              <w:t>≦每</w:t>
            </w:r>
            <w:r>
              <w:rPr>
                <w:rFonts w:hint="eastAsia" w:ascii="Times New Roman" w:hAnsi="Times New Roman" w:eastAsia="宋体" w:cs="仿宋_GB2312"/>
                <w:b w:val="0"/>
                <w:bCs/>
                <w:sz w:val="22"/>
                <w:szCs w:val="22"/>
                <w:highlight w:val="none"/>
                <w:lang w:val="en-US" w:eastAsia="zh-CN"/>
              </w:rPr>
              <w:t>服务门诊直</w:t>
            </w:r>
            <w:r>
              <w:rPr>
                <w:rFonts w:hint="eastAsia" w:ascii="Times New Roman" w:hAnsi="Times New Roman" w:eastAsia="宋体" w:cstheme="minorEastAsia"/>
                <w:bCs/>
                <w:sz w:val="22"/>
                <w:szCs w:val="22"/>
                <w:highlight w:val="none"/>
                <w:lang w:val="en-US" w:eastAsia="zh-CN"/>
              </w:rPr>
              <w:t>线距离</w:t>
            </w:r>
            <w:r>
              <w:rPr>
                <w:rFonts w:hint="eastAsia" w:ascii="Times New Roman" w:hAnsi="Times New Roman" w:eastAsia="宋体" w:cs="微软雅黑"/>
                <w:bCs/>
                <w:sz w:val="22"/>
                <w:szCs w:val="22"/>
                <w:highlight w:val="none"/>
              </w:rPr>
              <w:t>≦</w:t>
            </w:r>
            <w:r>
              <w:rPr>
                <w:rFonts w:hint="eastAsia" w:ascii="Times New Roman" w:hAnsi="Times New Roman" w:eastAsia="宋体" w:cstheme="minorEastAsia"/>
                <w:bCs/>
                <w:sz w:val="22"/>
                <w:szCs w:val="22"/>
                <w:highlight w:val="none"/>
                <w:lang w:val="en-US" w:eastAsia="zh-CN"/>
              </w:rPr>
              <w:t>4</w:t>
            </w:r>
            <w:r>
              <w:rPr>
                <w:rFonts w:hint="eastAsia" w:ascii="Times New Roman" w:hAnsi="Times New Roman" w:eastAsia="宋体" w:cstheme="minorEastAsia"/>
                <w:bCs/>
                <w:sz w:val="22"/>
                <w:szCs w:val="22"/>
                <w:highlight w:val="none"/>
              </w:rPr>
              <w:t>公里的</w:t>
            </w:r>
            <w:r>
              <w:rPr>
                <w:rFonts w:hint="eastAsia" w:ascii="Times New Roman" w:hAnsi="Times New Roman" w:eastAsia="宋体" w:cstheme="minorEastAsia"/>
                <w:bCs/>
                <w:sz w:val="22"/>
                <w:szCs w:val="22"/>
                <w:highlight w:val="none"/>
                <w:lang w:eastAsia="zh-CN"/>
              </w:rPr>
              <w:t>，</w:t>
            </w:r>
            <w:r>
              <w:rPr>
                <w:rFonts w:hint="eastAsia" w:ascii="Times New Roman" w:hAnsi="Times New Roman" w:eastAsia="宋体" w:cstheme="minorEastAsia"/>
                <w:bCs/>
                <w:sz w:val="22"/>
                <w:szCs w:val="22"/>
                <w:highlight w:val="none"/>
                <w:lang w:val="en-US" w:eastAsia="zh-CN"/>
              </w:rPr>
              <w:t>各</w:t>
            </w:r>
            <w:r>
              <w:rPr>
                <w:rFonts w:hint="eastAsia" w:ascii="Times New Roman" w:hAnsi="Times New Roman" w:eastAsia="宋体" w:cstheme="minorEastAsia"/>
                <w:bCs/>
                <w:sz w:val="22"/>
                <w:szCs w:val="22"/>
                <w:highlight w:val="none"/>
              </w:rPr>
              <w:t>得</w:t>
            </w:r>
            <w:r>
              <w:rPr>
                <w:rFonts w:hint="eastAsia" w:ascii="Times New Roman" w:hAnsi="Times New Roman" w:eastAsia="宋体" w:cstheme="minorEastAsia"/>
                <w:bCs/>
                <w:sz w:val="22"/>
                <w:szCs w:val="22"/>
                <w:highlight w:val="none"/>
                <w:lang w:val="en-US" w:eastAsia="zh-CN"/>
              </w:rPr>
              <w:t>5</w:t>
            </w:r>
            <w:r>
              <w:rPr>
                <w:rFonts w:hint="eastAsia" w:ascii="Times New Roman" w:hAnsi="Times New Roman" w:eastAsia="宋体" w:cstheme="minorEastAsia"/>
                <w:bCs/>
                <w:sz w:val="22"/>
                <w:szCs w:val="22"/>
                <w:highlight w:val="none"/>
              </w:rPr>
              <w:t>分</w:t>
            </w:r>
            <w:r>
              <w:rPr>
                <w:rFonts w:hint="eastAsia" w:ascii="Times New Roman" w:hAnsi="Times New Roman" w:eastAsia="宋体" w:cstheme="minorEastAsia"/>
                <w:bCs/>
                <w:sz w:val="22"/>
                <w:szCs w:val="22"/>
                <w:highlight w:val="none"/>
                <w:lang w:eastAsia="zh-CN"/>
              </w:rPr>
              <w:t>；</w:t>
            </w:r>
          </w:p>
          <w:p w14:paraId="127A9D09">
            <w:pPr>
              <w:keepNext w:val="0"/>
              <w:keepLines w:val="0"/>
              <w:pageBreakBefore w:val="0"/>
              <w:widowControl/>
              <w:numPr>
                <w:ilvl w:val="0"/>
                <w:numId w:val="9"/>
              </w:numPr>
              <w:kinsoku/>
              <w:wordWrap/>
              <w:overflowPunct/>
              <w:topLinePunct w:val="0"/>
              <w:autoSpaceDE/>
              <w:autoSpaceDN/>
              <w:bidi w:val="0"/>
              <w:adjustRightInd/>
              <w:snapToGrid/>
              <w:spacing w:line="260" w:lineRule="exact"/>
              <w:ind w:left="0" w:leftChars="0" w:firstLine="440" w:firstLineChars="200"/>
              <w:jc w:val="left"/>
              <w:textAlignment w:val="auto"/>
              <w:rPr>
                <w:rFonts w:hint="eastAsia" w:ascii="Times New Roman" w:hAnsi="Times New Roman" w:eastAsia="宋体" w:cstheme="minorEastAsia"/>
                <w:bCs/>
                <w:sz w:val="22"/>
                <w:szCs w:val="22"/>
                <w:highlight w:val="none"/>
                <w:lang w:val="en-US" w:eastAsia="zh-CN"/>
              </w:rPr>
            </w:pPr>
            <w:r>
              <w:rPr>
                <w:rFonts w:hint="eastAsia" w:ascii="Times New Roman" w:hAnsi="Times New Roman" w:eastAsia="宋体" w:cs="仿宋_GB2312"/>
                <w:bCs/>
                <w:sz w:val="22"/>
                <w:szCs w:val="22"/>
                <w:highlight w:val="none"/>
                <w:lang w:val="en-US" w:eastAsia="zh-CN"/>
              </w:rPr>
              <w:t xml:space="preserve"> 每个</w:t>
            </w:r>
            <w:r>
              <w:rPr>
                <w:rFonts w:hint="eastAsia" w:ascii="Times New Roman" w:hAnsi="Times New Roman" w:eastAsia="宋体" w:cs="仿宋_GB2312"/>
                <w:b w:val="0"/>
                <w:bCs/>
                <w:sz w:val="22"/>
                <w:szCs w:val="22"/>
                <w:highlight w:val="none"/>
                <w:lang w:val="en-US" w:eastAsia="zh-CN"/>
              </w:rPr>
              <w:t>服务门诊</w:t>
            </w:r>
            <w:r>
              <w:rPr>
                <w:rFonts w:hint="eastAsia" w:ascii="Times New Roman" w:hAnsi="Times New Roman" w:eastAsia="宋体" w:cstheme="minorEastAsia"/>
                <w:bCs/>
                <w:sz w:val="22"/>
                <w:szCs w:val="22"/>
                <w:highlight w:val="none"/>
                <w:lang w:val="en-US" w:eastAsia="zh-CN"/>
              </w:rPr>
              <w:t>直线距离</w:t>
            </w:r>
            <w:r>
              <w:rPr>
                <w:rFonts w:hint="eastAsia" w:ascii="Times New Roman" w:hAnsi="Times New Roman" w:eastAsia="宋体" w:cs="微软雅黑"/>
                <w:b w:val="0"/>
                <w:bCs/>
                <w:sz w:val="22"/>
                <w:szCs w:val="22"/>
                <w:highlight w:val="none"/>
                <w:lang w:val="en-US" w:eastAsia="zh-CN"/>
              </w:rPr>
              <w:t>&gt;</w:t>
            </w:r>
            <w:r>
              <w:rPr>
                <w:rFonts w:hint="eastAsia" w:ascii="Times New Roman" w:hAnsi="Times New Roman" w:eastAsia="宋体" w:cstheme="minorEastAsia"/>
                <w:bCs/>
                <w:sz w:val="22"/>
                <w:szCs w:val="22"/>
                <w:highlight w:val="none"/>
                <w:lang w:val="en-US" w:eastAsia="zh-CN"/>
              </w:rPr>
              <w:t>4</w:t>
            </w:r>
            <w:r>
              <w:rPr>
                <w:rFonts w:hint="eastAsia" w:ascii="Times New Roman" w:hAnsi="Times New Roman" w:eastAsia="宋体" w:cstheme="minorEastAsia"/>
                <w:bCs/>
                <w:sz w:val="22"/>
                <w:szCs w:val="22"/>
                <w:highlight w:val="none"/>
              </w:rPr>
              <w:t>公里的，</w:t>
            </w:r>
            <w:r>
              <w:rPr>
                <w:rFonts w:hint="eastAsia" w:ascii="Times New Roman" w:hAnsi="Times New Roman" w:eastAsia="宋体" w:cstheme="minorEastAsia"/>
                <w:bCs/>
                <w:sz w:val="22"/>
                <w:szCs w:val="22"/>
                <w:highlight w:val="none"/>
                <w:lang w:val="en-US" w:eastAsia="zh-CN"/>
              </w:rPr>
              <w:t>该服务门诊不得分；</w:t>
            </w:r>
          </w:p>
          <w:p w14:paraId="6A776605">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Cs/>
                <w:sz w:val="22"/>
                <w:szCs w:val="22"/>
                <w:highlight w:val="none"/>
              </w:rPr>
            </w:pPr>
            <w:r>
              <w:rPr>
                <w:rFonts w:hint="eastAsia" w:ascii="Times New Roman" w:hAnsi="Times New Roman" w:eastAsia="宋体" w:cstheme="minorEastAsia"/>
                <w:bCs/>
                <w:sz w:val="22"/>
                <w:szCs w:val="22"/>
                <w:highlight w:val="none"/>
                <w:lang w:val="en-US" w:eastAsia="zh-CN"/>
              </w:rPr>
              <w:t>本项满分30分</w:t>
            </w:r>
            <w:r>
              <w:rPr>
                <w:rFonts w:hint="eastAsia" w:ascii="Times New Roman" w:hAnsi="Times New Roman" w:eastAsia="宋体" w:cstheme="minorEastAsia"/>
                <w:bCs/>
                <w:sz w:val="22"/>
                <w:szCs w:val="22"/>
                <w:highlight w:val="none"/>
              </w:rPr>
              <w:t>。</w:t>
            </w:r>
          </w:p>
          <w:p w14:paraId="2C9E2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1.</w:t>
            </w:r>
            <w:r>
              <w:rPr>
                <w:rFonts w:hint="eastAsia" w:ascii="Times New Roman" w:hAnsi="Times New Roman" w:eastAsia="宋体" w:cstheme="minorEastAsia"/>
                <w:bCs/>
                <w:sz w:val="22"/>
                <w:szCs w:val="22"/>
                <w:highlight w:val="none"/>
              </w:rPr>
              <w:t>以百度地图</w:t>
            </w:r>
            <w:r>
              <w:rPr>
                <w:rFonts w:hint="eastAsia" w:ascii="Times New Roman" w:hAnsi="Times New Roman" w:eastAsia="宋体" w:cstheme="minorEastAsia"/>
                <w:bCs/>
                <w:sz w:val="22"/>
                <w:szCs w:val="22"/>
                <w:highlight w:val="none"/>
                <w:lang w:val="en-US" w:eastAsia="zh-CN"/>
              </w:rPr>
              <w:t>-工具箱-测距工具</w:t>
            </w:r>
            <w:r>
              <w:rPr>
                <w:rFonts w:hint="eastAsia" w:ascii="Times New Roman" w:hAnsi="Times New Roman" w:eastAsia="宋体" w:cstheme="minorEastAsia"/>
                <w:bCs/>
                <w:sz w:val="22"/>
                <w:szCs w:val="22"/>
                <w:highlight w:val="none"/>
              </w:rPr>
              <w:t>显示</w:t>
            </w:r>
            <w:r>
              <w:rPr>
                <w:rFonts w:hint="eastAsia" w:ascii="Times New Roman" w:hAnsi="Times New Roman" w:eastAsia="宋体" w:cstheme="minorEastAsia"/>
                <w:bCs/>
                <w:sz w:val="22"/>
                <w:szCs w:val="22"/>
                <w:highlight w:val="none"/>
                <w:lang w:val="en-US" w:eastAsia="zh-CN"/>
              </w:rPr>
              <w:t>距离</w:t>
            </w:r>
            <w:r>
              <w:rPr>
                <w:rFonts w:hint="eastAsia" w:ascii="Times New Roman" w:hAnsi="Times New Roman" w:eastAsia="宋体" w:cstheme="minorEastAsia"/>
                <w:bCs/>
                <w:sz w:val="22"/>
                <w:szCs w:val="22"/>
                <w:highlight w:val="none"/>
              </w:rPr>
              <w:t>信息为准</w:t>
            </w:r>
            <w:r>
              <w:rPr>
                <w:rFonts w:hint="eastAsia" w:ascii="Times New Roman" w:hAnsi="Times New Roman" w:eastAsia="宋体" w:cstheme="minorEastAsia"/>
                <w:bCs/>
                <w:sz w:val="22"/>
                <w:szCs w:val="22"/>
                <w:highlight w:val="none"/>
                <w:lang w:eastAsia="zh-CN"/>
              </w:rPr>
              <w:t>。</w:t>
            </w:r>
          </w:p>
          <w:p w14:paraId="77560C1D">
            <w:pPr>
              <w:keepNext w:val="0"/>
              <w:keepLines w:val="0"/>
              <w:pageBreakBefore w:val="0"/>
              <w:widowControl/>
              <w:kinsoku/>
              <w:wordWrap/>
              <w:overflowPunct/>
              <w:topLinePunct w:val="0"/>
              <w:autoSpaceDE/>
              <w:autoSpaceDN/>
              <w:bidi w:val="0"/>
              <w:adjustRightInd/>
              <w:snapToGrid/>
              <w:spacing w:line="260" w:lineRule="exact"/>
              <w:ind w:firstLine="1100" w:firstLineChars="500"/>
              <w:jc w:val="left"/>
              <w:textAlignment w:val="auto"/>
              <w:rPr>
                <w:rFonts w:hint="default" w:ascii="Times New Roman" w:hAnsi="Times New Roman" w:eastAsia="宋体" w:cstheme="minorEastAsia"/>
                <w:bCs/>
                <w:sz w:val="22"/>
                <w:szCs w:val="22"/>
                <w:highlight w:val="none"/>
                <w:lang w:val="en-US" w:eastAsia="zh-CN"/>
              </w:rPr>
            </w:pPr>
            <w:r>
              <w:rPr>
                <w:rFonts w:hint="eastAsia" w:ascii="Times New Roman" w:hAnsi="Times New Roman" w:eastAsia="宋体" w:cstheme="minorEastAsia"/>
                <w:bCs/>
                <w:sz w:val="22"/>
                <w:szCs w:val="22"/>
                <w:highlight w:val="none"/>
                <w:lang w:val="en-US" w:eastAsia="zh-CN"/>
              </w:rPr>
              <w:t>2.根据</w:t>
            </w:r>
            <w:r>
              <w:rPr>
                <w:rFonts w:hint="eastAsia" w:ascii="Times New Roman" w:hAnsi="Times New Roman" w:eastAsia="宋体" w:cstheme="minorEastAsia"/>
                <w:b w:val="0"/>
                <w:bCs/>
                <w:sz w:val="22"/>
                <w:szCs w:val="22"/>
                <w:highlight w:val="none"/>
                <w:lang w:val="en-US" w:eastAsia="zh-CN"/>
              </w:rPr>
              <w:t>投标人提供的服务门诊服务方案内容实施评分。</w:t>
            </w:r>
          </w:p>
        </w:tc>
        <w:tc>
          <w:tcPr>
            <w:tcW w:w="421" w:type="pct"/>
            <w:tcBorders>
              <w:tl2br w:val="nil"/>
              <w:tr2bl w:val="nil"/>
            </w:tcBorders>
            <w:vAlign w:val="center"/>
          </w:tcPr>
          <w:p w14:paraId="1308F58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30分</w:t>
            </w:r>
          </w:p>
        </w:tc>
      </w:tr>
      <w:tr w14:paraId="244C0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578" w:type="pct"/>
            <w:gridSpan w:val="3"/>
            <w:tcBorders>
              <w:tl2br w:val="nil"/>
              <w:tr2bl w:val="nil"/>
            </w:tcBorders>
            <w:vAlign w:val="center"/>
          </w:tcPr>
          <w:p w14:paraId="4BFA5D92">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bCs w:val="0"/>
                <w:sz w:val="24"/>
                <w:szCs w:val="24"/>
                <w:highlight w:val="none"/>
              </w:rPr>
              <w:t>合计</w:t>
            </w:r>
          </w:p>
        </w:tc>
        <w:tc>
          <w:tcPr>
            <w:tcW w:w="421" w:type="pct"/>
            <w:tcBorders>
              <w:tl2br w:val="nil"/>
              <w:tr2bl w:val="nil"/>
            </w:tcBorders>
            <w:vAlign w:val="center"/>
          </w:tcPr>
          <w:p w14:paraId="0FE80F8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val="0"/>
                <w:bCs/>
                <w:sz w:val="24"/>
                <w:szCs w:val="24"/>
                <w:highlight w:val="none"/>
              </w:rPr>
              <w:t>100分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3.本表要求提交的所有复印件需清晰完整，否则招标人有权视为无效，并根据具体文件性质予以扣减或废标处理。</w:t>
      </w:r>
    </w:p>
    <w:p w14:paraId="133B1E27">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3"/>
        <w:rPr>
          <w:rFonts w:hint="eastAsia" w:ascii="仿宋_GB2312" w:hAnsi="仿宋_GB2312" w:eastAsia="仿宋_GB2312" w:cs="仿宋_GB2312"/>
          <w:b w:val="0"/>
          <w:bCs/>
          <w:sz w:val="24"/>
          <w:szCs w:val="24"/>
          <w:highlight w:val="none"/>
        </w:rPr>
      </w:pPr>
      <w:r>
        <w:rPr>
          <w:rFonts w:hint="eastAsia" w:ascii="仿宋" w:hAnsi="仿宋" w:eastAsia="仿宋" w:cs="仿宋"/>
          <w:b w:val="0"/>
          <w:bCs/>
          <w:sz w:val="32"/>
          <w:szCs w:val="32"/>
          <w:highlight w:val="none"/>
        </w:rPr>
        <w:br w:type="page"/>
      </w:r>
      <w:r>
        <w:rPr>
          <w:rFonts w:hint="eastAsia" w:ascii="仿宋_GB2312" w:hAnsi="仿宋_GB2312" w:eastAsia="仿宋_GB2312" w:cs="仿宋_GB2312"/>
          <w:b w:val="0"/>
          <w:bCs/>
          <w:sz w:val="24"/>
          <w:szCs w:val="24"/>
          <w:highlight w:val="none"/>
        </w:rPr>
        <w:t>附表2-1 《价格标评分方法》</w:t>
      </w:r>
    </w:p>
    <w:tbl>
      <w:tblPr>
        <w:tblStyle w:val="15"/>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4"/>
        <w:gridCol w:w="2449"/>
        <w:gridCol w:w="873"/>
        <w:gridCol w:w="3675"/>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序号</w:t>
            </w:r>
          </w:p>
        </w:tc>
        <w:tc>
          <w:tcPr>
            <w:tcW w:w="819"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评分因素</w:t>
            </w:r>
          </w:p>
        </w:tc>
        <w:tc>
          <w:tcPr>
            <w:tcW w:w="1324"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评分准则</w:t>
            </w:r>
          </w:p>
        </w:tc>
        <w:tc>
          <w:tcPr>
            <w:tcW w:w="472"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分值</w:t>
            </w:r>
          </w:p>
        </w:tc>
        <w:tc>
          <w:tcPr>
            <w:tcW w:w="198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95"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w:t>
            </w:r>
          </w:p>
        </w:tc>
        <w:tc>
          <w:tcPr>
            <w:tcW w:w="819"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项目总报价</w:t>
            </w:r>
          </w:p>
        </w:tc>
        <w:tc>
          <w:tcPr>
            <w:tcW w:w="1324" w:type="pct"/>
            <w:tcBorders>
              <w:tl2br w:val="nil"/>
              <w:tr2bl w:val="nil"/>
            </w:tcBorders>
            <w:vAlign w:val="center"/>
          </w:tcPr>
          <w:p w14:paraId="5EDE768B">
            <w:pPr>
              <w:keepNext w:val="0"/>
              <w:keepLines w:val="0"/>
              <w:pageBreakBefore w:val="0"/>
              <w:kinsoku/>
              <w:wordWrap/>
              <w:overflowPunct/>
              <w:topLinePunct w:val="0"/>
              <w:autoSpaceDE/>
              <w:autoSpaceDN/>
              <w:bidi w:val="0"/>
              <w:spacing w:line="280" w:lineRule="exact"/>
              <w:jc w:val="left"/>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在商务技术满足基准要求的前提下，项目总报价最低的投标人得满分，第二名得分</w:t>
            </w:r>
            <w:r>
              <w:rPr>
                <w:rFonts w:hint="eastAsia" w:ascii="Times New Roman" w:hAnsi="Times New Roman" w:eastAsia="仿宋_GB2312" w:cs="宋体"/>
                <w:b w:val="0"/>
                <w:bCs/>
                <w:sz w:val="24"/>
                <w:szCs w:val="24"/>
                <w:highlight w:val="none"/>
                <w:lang w:val="en-US" w:eastAsia="zh-CN"/>
              </w:rPr>
              <w:t>90</w:t>
            </w:r>
            <w:r>
              <w:rPr>
                <w:rFonts w:hint="eastAsia" w:ascii="Times New Roman" w:hAnsi="Times New Roman" w:eastAsia="仿宋_GB2312" w:cs="宋体"/>
                <w:b w:val="0"/>
                <w:bCs/>
                <w:sz w:val="24"/>
                <w:szCs w:val="24"/>
                <w:highlight w:val="none"/>
              </w:rPr>
              <w:t>分，第三名得分</w:t>
            </w:r>
            <w:r>
              <w:rPr>
                <w:rFonts w:hint="eastAsia" w:ascii="Times New Roman" w:hAnsi="Times New Roman" w:eastAsia="仿宋_GB2312" w:cs="宋体"/>
                <w:b w:val="0"/>
                <w:bCs/>
                <w:sz w:val="24"/>
                <w:szCs w:val="24"/>
                <w:highlight w:val="none"/>
                <w:lang w:val="en-US" w:eastAsia="zh-CN"/>
              </w:rPr>
              <w:t>80</w:t>
            </w:r>
            <w:r>
              <w:rPr>
                <w:rFonts w:hint="eastAsia" w:ascii="Times New Roman" w:hAnsi="Times New Roman" w:eastAsia="仿宋_GB2312" w:cs="宋体"/>
                <w:b w:val="0"/>
                <w:bCs/>
                <w:sz w:val="24"/>
                <w:szCs w:val="24"/>
                <w:highlight w:val="none"/>
              </w:rPr>
              <w:t>分，以此类推。</w:t>
            </w:r>
          </w:p>
        </w:tc>
        <w:tc>
          <w:tcPr>
            <w:tcW w:w="472"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100分</w:t>
            </w:r>
          </w:p>
        </w:tc>
        <w:tc>
          <w:tcPr>
            <w:tcW w:w="198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合计</w:t>
            </w:r>
          </w:p>
        </w:tc>
        <w:tc>
          <w:tcPr>
            <w:tcW w:w="472"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100分</w:t>
            </w:r>
          </w:p>
        </w:tc>
        <w:tc>
          <w:tcPr>
            <w:tcW w:w="198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p>
        </w:tc>
      </w:tr>
    </w:tbl>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1）若投标报价一览表中投标价与投标文件中投标价格不一致，以投标报价一览表为准；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评标专家组按附表</w:t>
      </w:r>
      <w:r>
        <w:rPr>
          <w:rFonts w:hint="default" w:ascii="Times New Roman" w:hAnsi="Times New Roman" w:eastAsia="仿宋_GB2312" w:cs="Times New Roman"/>
          <w:b w:val="0"/>
          <w:bCs/>
          <w:sz w:val="24"/>
          <w:szCs w:val="24"/>
          <w:highlight w:val="none"/>
        </w:rPr>
        <w:t>2-1《</w:t>
      </w:r>
      <w:r>
        <w:rPr>
          <w:rFonts w:hint="eastAsia" w:ascii="仿宋_GB2312" w:hAnsi="仿宋_GB2312" w:eastAsia="仿宋_GB2312" w:cs="仿宋_GB2312"/>
          <w:b w:val="0"/>
          <w:bCs/>
          <w:sz w:val="24"/>
          <w:szCs w:val="24"/>
          <w:highlight w:val="none"/>
        </w:rPr>
        <w:t>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shd w:val="clear" w:color="auto" w:fill="FFFF00"/>
        </w:rPr>
      </w:pP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价格得分为负数时，</w:t>
      </w:r>
      <w:r>
        <w:rPr>
          <w:rFonts w:hint="default" w:ascii="Times New Roman" w:hAnsi="Times New Roman" w:eastAsia="仿宋_GB2312" w:cs="Times New Roman"/>
          <w:b w:val="0"/>
          <w:bCs/>
          <w:sz w:val="24"/>
          <w:szCs w:val="24"/>
          <w:highlight w:val="none"/>
        </w:rPr>
        <w:t>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6FD9253B">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BEA5A8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4A7826D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050152F3">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14:paraId="521B076D">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3"/>
        <w:gridCol w:w="3331"/>
        <w:gridCol w:w="3395"/>
      </w:tblGrid>
      <w:tr w14:paraId="10FE1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2283"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权重名称</w:t>
            </w:r>
          </w:p>
        </w:tc>
        <w:tc>
          <w:tcPr>
            <w:tcW w:w="3331"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商务技术权重</w:t>
            </w:r>
          </w:p>
        </w:tc>
        <w:tc>
          <w:tcPr>
            <w:tcW w:w="3395" w:type="dxa"/>
            <w:tcBorders>
              <w:tl2br w:val="nil"/>
              <w:tr2bl w:val="nil"/>
            </w:tcBorders>
            <w:shd w:val="clear" w:color="auto" w:fill="FFFFFF" w:themeFill="background1"/>
            <w:vAlign w:val="center"/>
          </w:tcPr>
          <w:p w14:paraId="043D71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价格权重</w:t>
            </w:r>
          </w:p>
        </w:tc>
      </w:tr>
      <w:tr w14:paraId="7EA3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2283"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rPr>
              <w:t>权重</w:t>
            </w:r>
          </w:p>
        </w:tc>
        <w:tc>
          <w:tcPr>
            <w:tcW w:w="3331"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60</w:t>
            </w:r>
            <w:r>
              <w:rPr>
                <w:rFonts w:hint="eastAsia" w:ascii="Times New Roman" w:hAnsi="Times New Roman" w:eastAsia="宋体" w:cstheme="minorEastAsia"/>
                <w:b w:val="0"/>
                <w:bCs/>
                <w:sz w:val="28"/>
                <w:szCs w:val="28"/>
                <w:highlight w:val="none"/>
              </w:rPr>
              <w:t>%</w:t>
            </w:r>
          </w:p>
        </w:tc>
        <w:tc>
          <w:tcPr>
            <w:tcW w:w="3395" w:type="dxa"/>
            <w:tcBorders>
              <w:tl2br w:val="nil"/>
              <w:tr2bl w:val="nil"/>
            </w:tcBorders>
            <w:shd w:val="clear" w:color="auto" w:fill="FFFFFF" w:themeFill="background1"/>
            <w:vAlign w:val="center"/>
          </w:tcPr>
          <w:p w14:paraId="05C4DD3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40</w:t>
            </w:r>
            <w:r>
              <w:rPr>
                <w:rFonts w:hint="eastAsia" w:ascii="Times New Roman" w:hAnsi="Times New Roman" w:eastAsia="宋体" w:cstheme="minorEastAsia"/>
                <w:b w:val="0"/>
                <w:bCs/>
                <w:sz w:val="28"/>
                <w:szCs w:val="28"/>
                <w:highlight w:val="none"/>
              </w:rPr>
              <w:t>%</w:t>
            </w:r>
          </w:p>
        </w:tc>
      </w:tr>
    </w:tbl>
    <w:p w14:paraId="5C0287C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39F48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77A006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50" w:name="_Toc22811"/>
      <w:bookmarkStart w:id="51" w:name="_Toc220"/>
      <w:r>
        <w:rPr>
          <w:rFonts w:hint="eastAsia" w:ascii="黑体" w:hAnsi="黑体" w:eastAsia="黑体" w:cs="黑体"/>
          <w:b w:val="0"/>
          <w:bCs/>
          <w:sz w:val="32"/>
          <w:szCs w:val="32"/>
          <w:highlight w:val="none"/>
        </w:rPr>
        <w:t>第三章 合同条款</w:t>
      </w:r>
      <w:bookmarkEnd w:id="50"/>
      <w:bookmarkEnd w:id="51"/>
    </w:p>
    <w:p w14:paraId="24E83255">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743630A3">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2025</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w:t>
      </w:r>
      <w:r>
        <w:rPr>
          <w:rFonts w:hint="eastAsia" w:ascii="方正小标宋简体" w:hAnsi="方正小标宋简体" w:eastAsia="方正小标宋简体" w:cs="方正小标宋简体"/>
          <w:b w:val="0"/>
          <w:bCs/>
          <w:sz w:val="44"/>
          <w:szCs w:val="44"/>
          <w:highlight w:val="none"/>
          <w:lang w:val="en-US" w:eastAsia="zh-CN"/>
        </w:rPr>
        <w:t>项目</w:t>
      </w:r>
      <w:r>
        <w:rPr>
          <w:rFonts w:hint="eastAsia" w:ascii="方正小标宋简体" w:hAnsi="方正小标宋简体" w:eastAsia="方正小标宋简体" w:cs="方正小标宋简体"/>
          <w:b w:val="0"/>
          <w:bCs/>
          <w:sz w:val="44"/>
          <w:szCs w:val="44"/>
          <w:highlight w:val="none"/>
        </w:rPr>
        <w:t>合同</w:t>
      </w:r>
    </w:p>
    <w:p w14:paraId="71197B98">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371585E9">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bookmarkStart w:id="52" w:name="_Toc27794"/>
      <w:r>
        <w:rPr>
          <w:rFonts w:hint="eastAsia" w:ascii="Times New Roman" w:hAnsi="Times New Roman" w:eastAsia="仿宋_GB2312" w:cs="仿宋"/>
          <w:b w:val="0"/>
          <w:bCs/>
          <w:sz w:val="32"/>
          <w:szCs w:val="32"/>
          <w:highlight w:val="none"/>
        </w:rPr>
        <w:t xml:space="preserve">甲方：深圳市鹏劳人力资源管理有限公司 </w:t>
      </w:r>
    </w:p>
    <w:p w14:paraId="7D729A40">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地址：</w:t>
      </w:r>
      <w:r>
        <w:rPr>
          <w:rFonts w:hint="eastAsia" w:ascii="Times New Roman" w:hAnsi="Times New Roman" w:eastAsia="仿宋_GB2312" w:cs="仿宋"/>
          <w:bCs/>
          <w:sz w:val="32"/>
          <w:szCs w:val="32"/>
          <w:highlight w:val="none"/>
        </w:rPr>
        <w:t>深圳市罗湖区笋岗街道田心社区红岭北路2088号招商开元中心A座13层</w:t>
      </w:r>
    </w:p>
    <w:p w14:paraId="3E10FAAF">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联系人及电话： </w:t>
      </w:r>
    </w:p>
    <w:p w14:paraId="2C6EE80E">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p>
    <w:p w14:paraId="2EF91BC3">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乙方： </w:t>
      </w:r>
    </w:p>
    <w:p w14:paraId="3F4ED048">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地址： </w:t>
      </w:r>
    </w:p>
    <w:p w14:paraId="5CC1551D">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联系人及电话： </w:t>
      </w:r>
    </w:p>
    <w:p w14:paraId="163C0EEF">
      <w:pPr>
        <w:pageBreakBefore w:val="0"/>
        <w:kinsoku/>
        <w:overflowPunct/>
        <w:topLinePunct w:val="0"/>
        <w:autoSpaceDE/>
        <w:autoSpaceDN/>
        <w:bidi w:val="0"/>
        <w:spacing w:line="560" w:lineRule="exact"/>
        <w:ind w:firstLine="729" w:firstLineChars="228"/>
        <w:rPr>
          <w:rFonts w:hint="eastAsia" w:ascii="Times New Roman" w:hAnsi="Times New Roman" w:eastAsia="仿宋_GB2312" w:cs="仿宋"/>
          <w:b w:val="0"/>
          <w:bCs/>
          <w:sz w:val="32"/>
          <w:szCs w:val="32"/>
          <w:highlight w:val="none"/>
        </w:rPr>
      </w:pPr>
    </w:p>
    <w:p w14:paraId="1BC7C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甲方经招标采购程序，确定乙方为甲方</w:t>
      </w:r>
      <w:r>
        <w:rPr>
          <w:rFonts w:hint="eastAsia" w:ascii="Times New Roman" w:hAnsi="Times New Roman" w:eastAsia="仿宋_GB2312" w:cs="仿宋"/>
          <w:b w:val="0"/>
          <w:bCs/>
          <w:sz w:val="32"/>
          <w:szCs w:val="32"/>
          <w:highlight w:val="none"/>
          <w:lang w:eastAsia="zh-CN"/>
        </w:rPr>
        <w:t>202</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年度</w:t>
      </w:r>
      <w:r>
        <w:rPr>
          <w:rFonts w:hint="eastAsia" w:ascii="Times New Roman" w:hAnsi="Times New Roman" w:eastAsia="仿宋_GB2312" w:cs="仿宋"/>
          <w:b w:val="0"/>
          <w:bCs/>
          <w:sz w:val="32"/>
          <w:szCs w:val="32"/>
          <w:highlight w:val="none"/>
          <w:lang w:eastAsia="zh-CN"/>
        </w:rPr>
        <w:t>员工健康</w:t>
      </w:r>
      <w:r>
        <w:rPr>
          <w:rFonts w:hint="eastAsia" w:ascii="Times New Roman" w:hAnsi="Times New Roman" w:eastAsia="仿宋_GB2312" w:cs="仿宋"/>
          <w:b w:val="0"/>
          <w:bCs/>
          <w:sz w:val="32"/>
          <w:szCs w:val="32"/>
          <w:highlight w:val="none"/>
        </w:rPr>
        <w:t>体检项目（项目编号：</w:t>
      </w:r>
      <w:r>
        <w:rPr>
          <w:rFonts w:hint="eastAsia" w:ascii="Times New Roman" w:hAnsi="Times New Roman" w:eastAsia="仿宋_GB2312" w:cs="仿宋"/>
          <w:b w:val="0"/>
          <w:bCs/>
          <w:sz w:val="32"/>
          <w:szCs w:val="32"/>
          <w:highlight w:val="none"/>
          <w:lang w:eastAsia="zh-CN"/>
        </w:rPr>
        <w:t>PLHR-ZB-FW-202506</w:t>
      </w:r>
      <w:r>
        <w:rPr>
          <w:rFonts w:hint="eastAsia" w:ascii="Times New Roman" w:hAnsi="Times New Roman" w:eastAsia="仿宋_GB2312" w:cs="仿宋"/>
          <w:b w:val="0"/>
          <w:bCs/>
          <w:sz w:val="32"/>
          <w:szCs w:val="32"/>
          <w:highlight w:val="none"/>
        </w:rPr>
        <w:t>）中标方，双方本着平等合作、互惠互利的原则订立本服务合同，就乙方为甲方</w:t>
      </w:r>
      <w:r>
        <w:rPr>
          <w:rFonts w:hint="eastAsia" w:ascii="Times New Roman" w:hAnsi="Times New Roman" w:eastAsia="仿宋_GB2312" w:cs="仿宋"/>
          <w:b w:val="0"/>
          <w:bCs/>
          <w:sz w:val="32"/>
          <w:szCs w:val="32"/>
          <w:highlight w:val="none"/>
          <w:lang w:eastAsia="zh-CN"/>
        </w:rPr>
        <w:t>员工</w:t>
      </w:r>
      <w:r>
        <w:rPr>
          <w:rFonts w:hint="eastAsia" w:ascii="Times New Roman" w:hAnsi="Times New Roman" w:eastAsia="仿宋_GB2312" w:cs="仿宋"/>
          <w:b w:val="0"/>
          <w:bCs/>
          <w:sz w:val="32"/>
          <w:szCs w:val="32"/>
          <w:highlight w:val="none"/>
        </w:rPr>
        <w:t>提供体检服务事宜约定如下：</w:t>
      </w:r>
    </w:p>
    <w:p w14:paraId="1301C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14:paraId="1116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Times New Roman" w:hAnsi="Times New Roman" w:eastAsia="仿宋_GB2312" w:cs="仿宋"/>
          <w:b w:val="0"/>
          <w:bCs/>
          <w:sz w:val="32"/>
          <w:szCs w:val="32"/>
          <w:highlight w:val="none"/>
        </w:rPr>
        <w:t>乙方按甲方项目编号为</w:t>
      </w:r>
      <w:r>
        <w:rPr>
          <w:rFonts w:hint="eastAsia" w:ascii="Times New Roman" w:hAnsi="Times New Roman" w:eastAsia="仿宋_GB2312" w:cs="仿宋"/>
          <w:b w:val="0"/>
          <w:bCs/>
          <w:sz w:val="32"/>
          <w:szCs w:val="32"/>
          <w:highlight w:val="none"/>
          <w:lang w:eastAsia="zh-CN"/>
        </w:rPr>
        <w:t>PLHR-ZB-FW-202506</w:t>
      </w:r>
      <w:r>
        <w:rPr>
          <w:rFonts w:hint="eastAsia" w:ascii="Times New Roman" w:hAnsi="Times New Roman" w:eastAsia="仿宋_GB2312"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14:paraId="29298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乙方提供以下有效收款账户作为体检费用结算账户（中标人填写）</w:t>
      </w:r>
    </w:p>
    <w:p w14:paraId="6B113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收款单位：</w:t>
      </w:r>
    </w:p>
    <w:p w14:paraId="4DAE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收款银行：</w:t>
      </w:r>
    </w:p>
    <w:p w14:paraId="2B948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银行账号：</w:t>
      </w:r>
    </w:p>
    <w:p w14:paraId="6C11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乙方应向甲方开具符合国家法律法规规定的</w:t>
      </w:r>
      <w:r>
        <w:rPr>
          <w:rFonts w:hint="eastAsia" w:ascii="仿宋_GB2312" w:hAnsi="仿宋_GB2312" w:eastAsia="仿宋_GB2312" w:cs="仿宋_GB2312"/>
          <w:b w:val="0"/>
          <w:bCs/>
          <w:sz w:val="32"/>
          <w:szCs w:val="32"/>
          <w:highlight w:val="none"/>
          <w:lang w:eastAsia="zh-CN"/>
        </w:rPr>
        <w:t>票据</w:t>
      </w:r>
      <w:r>
        <w:rPr>
          <w:rFonts w:hint="eastAsia" w:ascii="仿宋_GB2312" w:hAnsi="仿宋_GB2312" w:eastAsia="仿宋_GB2312" w:cs="仿宋_GB2312"/>
          <w:b w:val="0"/>
          <w:bCs/>
          <w:sz w:val="32"/>
          <w:szCs w:val="32"/>
          <w:highlight w:val="none"/>
        </w:rPr>
        <w:t>，并提供实际到检人员名单及标准明细以便甲方实施体检费用结算。</w:t>
      </w:r>
    </w:p>
    <w:p w14:paraId="3BA7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乙方为甲方员工预留的企业员工体检服务期限为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（待招标确定）</w:t>
      </w:r>
    </w:p>
    <w:p w14:paraId="0B372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14:paraId="6766960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向乙方指定接口人提供应体检人员的必要个人信息；</w:t>
      </w:r>
    </w:p>
    <w:p w14:paraId="5384F1C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体检报告由甲方体检人员自取，乙方于体检完成的15个工作日内提供已出具的体检人电子报告至甲方。</w:t>
      </w:r>
    </w:p>
    <w:p w14:paraId="3C52CF7E">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乙方履行本合同第</w:t>
      </w:r>
      <w:r>
        <w:rPr>
          <w:rFonts w:hint="eastAsia" w:ascii="Times New Roman" w:hAnsi="Times New Roman" w:eastAsia="仿宋_GB2312" w:cs="仿宋"/>
          <w:b w:val="0"/>
          <w:bCs/>
          <w:sz w:val="32"/>
          <w:szCs w:val="32"/>
          <w:highlight w:val="none"/>
          <w:lang w:eastAsia="zh-CN"/>
        </w:rPr>
        <w:t>一</w:t>
      </w:r>
      <w:r>
        <w:rPr>
          <w:rFonts w:hint="eastAsia" w:ascii="Times New Roman" w:hAnsi="Times New Roman" w:eastAsia="仿宋_GB2312" w:cs="仿宋"/>
          <w:b w:val="0"/>
          <w:bCs/>
          <w:sz w:val="32"/>
          <w:szCs w:val="32"/>
          <w:highlight w:val="none"/>
        </w:rPr>
        <w:t>条第2、3款义务后，由甲方在收到</w:t>
      </w:r>
      <w:r>
        <w:rPr>
          <w:rFonts w:hint="eastAsia" w:ascii="Times New Roman" w:hAnsi="Times New Roman" w:eastAsia="仿宋_GB2312" w:cs="仿宋"/>
          <w:b w:val="0"/>
          <w:bCs/>
          <w:sz w:val="32"/>
          <w:szCs w:val="32"/>
          <w:highlight w:val="none"/>
          <w:lang w:eastAsia="zh-CN"/>
        </w:rPr>
        <w:t>票据</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个工作日内将体检费用转账至</w:t>
      </w:r>
      <w:r>
        <w:rPr>
          <w:rFonts w:hint="eastAsia" w:ascii="Times New Roman" w:hAnsi="Times New Roman" w:eastAsia="仿宋_GB2312" w:cs="仿宋"/>
          <w:b w:val="0"/>
          <w:bCs/>
          <w:sz w:val="32"/>
          <w:szCs w:val="32"/>
          <w:highlight w:val="none"/>
          <w:lang w:eastAsia="zh-CN"/>
        </w:rPr>
        <w:t>本合同</w:t>
      </w:r>
      <w:r>
        <w:rPr>
          <w:rFonts w:hint="eastAsia" w:ascii="Times New Roman" w:hAnsi="Times New Roman" w:eastAsia="仿宋_GB2312" w:cs="仿宋"/>
          <w:b w:val="0"/>
          <w:bCs/>
          <w:sz w:val="32"/>
          <w:szCs w:val="32"/>
          <w:highlight w:val="none"/>
        </w:rPr>
        <w:t>第</w:t>
      </w:r>
      <w:r>
        <w:rPr>
          <w:rFonts w:hint="eastAsia" w:ascii="Times New Roman" w:hAnsi="Times New Roman" w:eastAsia="仿宋_GB2312" w:cs="仿宋"/>
          <w:b w:val="0"/>
          <w:bCs/>
          <w:sz w:val="32"/>
          <w:szCs w:val="32"/>
          <w:highlight w:val="none"/>
          <w:lang w:eastAsia="zh-CN"/>
        </w:rPr>
        <w:t>一</w:t>
      </w:r>
      <w:r>
        <w:rPr>
          <w:rFonts w:hint="eastAsia" w:ascii="Times New Roman" w:hAnsi="Times New Roman" w:eastAsia="仿宋_GB2312" w:cs="仿宋"/>
          <w:b w:val="0"/>
          <w:bCs/>
          <w:sz w:val="32"/>
          <w:szCs w:val="32"/>
          <w:highlight w:val="none"/>
        </w:rPr>
        <w:t>条第2款</w:t>
      </w:r>
      <w:r>
        <w:rPr>
          <w:rFonts w:hint="eastAsia" w:ascii="Times New Roman" w:hAnsi="Times New Roman" w:eastAsia="仿宋_GB2312" w:cs="仿宋"/>
          <w:b w:val="0"/>
          <w:bCs/>
          <w:sz w:val="32"/>
          <w:szCs w:val="32"/>
          <w:highlight w:val="none"/>
          <w:lang w:eastAsia="zh-CN"/>
        </w:rPr>
        <w:t>所列示的</w:t>
      </w:r>
      <w:r>
        <w:rPr>
          <w:rFonts w:hint="eastAsia" w:ascii="Times New Roman" w:hAnsi="Times New Roman" w:eastAsia="仿宋_GB2312" w:cs="仿宋"/>
          <w:b w:val="0"/>
          <w:bCs/>
          <w:sz w:val="32"/>
          <w:szCs w:val="32"/>
          <w:highlight w:val="none"/>
        </w:rPr>
        <w:t>银行账户。</w:t>
      </w:r>
    </w:p>
    <w:p w14:paraId="4731D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14:paraId="6F5E22EA">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体检内容</w:t>
      </w:r>
    </w:p>
    <w:p w14:paraId="335E918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原则上按中标人提交的投标文件执行，如合同实质性谈判阶段出现有利于招标人的更优条件，按谈判记录列示内容执行。</w:t>
      </w:r>
    </w:p>
    <w:p w14:paraId="6AA7E0D3">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收费标准</w:t>
      </w:r>
    </w:p>
    <w:p w14:paraId="624CE9E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原则上按中标人提交的投标文件执行，如合同实质性谈判阶段出现有利于招标人的更优条件，按谈判记录列示内容执行。</w:t>
      </w:r>
    </w:p>
    <w:p w14:paraId="3227E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四、禁止贿赂</w:t>
      </w:r>
    </w:p>
    <w:p w14:paraId="43AECEB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甲乙双方同时遵守《供需双方廉洁互保协议》。</w:t>
      </w:r>
    </w:p>
    <w:p w14:paraId="2A157AD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71B719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合同生效及其它</w:t>
      </w:r>
    </w:p>
    <w:p w14:paraId="3161A32B">
      <w:pPr>
        <w:pStyle w:val="19"/>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1"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本合同自双方授权代表签字并加盖公章后生效，</w:t>
      </w:r>
      <w:r>
        <w:rPr>
          <w:rFonts w:hint="eastAsia" w:ascii="Times New Roman" w:hAnsi="Times New Roman" w:eastAsia="仿宋_GB2312" w:cs="仿宋_GB2312"/>
          <w:b w:val="0"/>
          <w:bCs/>
          <w:sz w:val="32"/>
          <w:szCs w:val="32"/>
          <w:highlight w:val="none"/>
        </w:rPr>
        <w:t>本项目期限为订立合同之日起至招标人指定</w:t>
      </w:r>
      <w:r>
        <w:rPr>
          <w:rFonts w:hint="eastAsia" w:ascii="Times New Roman" w:hAnsi="Times New Roman" w:eastAsia="仿宋_GB2312" w:cs="仿宋_GB2312"/>
          <w:b w:val="0"/>
          <w:bCs/>
          <w:sz w:val="32"/>
          <w:szCs w:val="32"/>
          <w:highlight w:val="none"/>
          <w:lang w:eastAsia="zh-CN"/>
        </w:rPr>
        <w:t>员工</w:t>
      </w:r>
      <w:r>
        <w:rPr>
          <w:rFonts w:hint="eastAsia" w:ascii="Times New Roman" w:hAnsi="Times New Roman" w:eastAsia="仿宋_GB2312" w:cs="仿宋_GB2312"/>
          <w:b w:val="0"/>
          <w:bCs/>
          <w:sz w:val="32"/>
          <w:szCs w:val="32"/>
          <w:highlight w:val="none"/>
        </w:rPr>
        <w:t>年度</w:t>
      </w:r>
      <w:r>
        <w:rPr>
          <w:rFonts w:hint="eastAsia" w:ascii="Times New Roman" w:hAnsi="Times New Roman" w:eastAsia="仿宋_GB2312" w:cs="仿宋_GB2312"/>
          <w:b w:val="0"/>
          <w:bCs/>
          <w:sz w:val="32"/>
          <w:szCs w:val="32"/>
          <w:highlight w:val="none"/>
          <w:lang w:eastAsia="zh-CN"/>
        </w:rPr>
        <w:t>健康</w:t>
      </w:r>
      <w:r>
        <w:rPr>
          <w:rFonts w:hint="eastAsia" w:ascii="Times New Roman" w:hAnsi="Times New Roman" w:eastAsia="仿宋_GB2312" w:cs="仿宋_GB2312"/>
          <w:b w:val="0"/>
          <w:bCs/>
          <w:sz w:val="32"/>
          <w:szCs w:val="32"/>
          <w:highlight w:val="none"/>
        </w:rPr>
        <w:t>体检全部完成</w:t>
      </w:r>
      <w:r>
        <w:rPr>
          <w:rFonts w:hint="eastAsia" w:ascii="Times New Roman" w:hAnsi="Times New Roman" w:eastAsia="仿宋_GB2312" w:cs="仿宋_GB2312"/>
          <w:b w:val="0"/>
          <w:bCs/>
          <w:sz w:val="32"/>
          <w:szCs w:val="32"/>
          <w:highlight w:val="none"/>
          <w:lang w:eastAsia="zh-CN"/>
        </w:rPr>
        <w:t>，招标人员工自行放弃体检的情况除外。</w:t>
      </w:r>
    </w:p>
    <w:p w14:paraId="0FC48CD2">
      <w:pPr>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0" w:leftChars="0" w:firstLine="640" w:firstLineChars="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color w:val="000000"/>
          <w:sz w:val="32"/>
          <w:szCs w:val="32"/>
        </w:rPr>
        <w:t>合同正本一式肆份，双方各执贰份，</w:t>
      </w:r>
      <w:r>
        <w:rPr>
          <w:rFonts w:hint="eastAsia" w:ascii="Times New Roman" w:hAnsi="Times New Roman" w:eastAsia="仿宋_GB2312" w:cs="仿宋_GB2312"/>
          <w:bCs/>
          <w:sz w:val="32"/>
          <w:szCs w:val="32"/>
        </w:rPr>
        <w:t>均具</w:t>
      </w:r>
      <w:r>
        <w:rPr>
          <w:rFonts w:hint="eastAsia" w:ascii="Times New Roman" w:hAnsi="Times New Roman" w:eastAsia="仿宋_GB2312" w:cs="仿宋_GB2312"/>
          <w:bCs/>
          <w:sz w:val="32"/>
          <w:szCs w:val="32"/>
          <w:lang w:val="en-US" w:eastAsia="zh-CN"/>
        </w:rPr>
        <w:t>有</w:t>
      </w:r>
      <w:r>
        <w:rPr>
          <w:rFonts w:hint="eastAsia" w:ascii="Times New Roman" w:hAnsi="Times New Roman" w:eastAsia="仿宋_GB2312" w:cs="仿宋_GB2312"/>
          <w:bCs/>
          <w:sz w:val="32"/>
          <w:szCs w:val="32"/>
        </w:rPr>
        <w:t>同等法律效力，经双方授权代表签字并加盖公章后生效。</w:t>
      </w:r>
    </w:p>
    <w:p w14:paraId="6D913552">
      <w:pPr>
        <w:keepNext w:val="0"/>
        <w:keepLines w:val="0"/>
        <w:pageBreakBefore w:val="0"/>
        <w:widowControl w:val="0"/>
        <w:numPr>
          <w:ilvl w:val="0"/>
          <w:numId w:val="11"/>
        </w:numPr>
        <w:kinsoku/>
        <w:wordWrap w:val="0"/>
        <w:overflowPunct/>
        <w:topLinePunct w:val="0"/>
        <w:autoSpaceDE/>
        <w:autoSpaceDN/>
        <w:bidi w:val="0"/>
        <w:adjustRightInd/>
        <w:snapToGrid/>
        <w:spacing w:before="120" w:beforeLines="50" w:line="560" w:lineRule="exact"/>
        <w:ind w:left="-10" w:leftChars="0" w:firstLine="64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除非本合同另有规定或双方同意，否则本合同规定的一切通知、文件资料均应采用书面形式，送交对方的主要营业地址或双方为此而指定的其他地址。</w:t>
      </w:r>
    </w:p>
    <w:p w14:paraId="521ABFCF">
      <w:pPr>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0" w:leftChars="0" w:firstLine="64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以下文件均为本合同的有效组成部分，与合同正文具有同等法律效力。若合同附件与合同正文存在冲突的，双方均同意按照有利于甲方的条款执行。</w:t>
      </w:r>
    </w:p>
    <w:p w14:paraId="155BDF27">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甲方作为项目采购人发布的编号为</w:t>
      </w:r>
      <w:r>
        <w:rPr>
          <w:rFonts w:hint="eastAsia" w:ascii="Times New Roman" w:hAnsi="Times New Roman" w:eastAsia="仿宋_GB2312" w:cs="仿宋_GB2312"/>
          <w:b w:val="0"/>
          <w:bCs/>
          <w:sz w:val="32"/>
          <w:szCs w:val="32"/>
          <w:highlight w:val="none"/>
          <w:u w:val="single"/>
          <w:lang w:eastAsia="zh-CN"/>
        </w:rPr>
        <w:t>PLHR-ZB-FW-202506</w:t>
      </w:r>
      <w:r>
        <w:rPr>
          <w:rFonts w:hint="eastAsia" w:ascii="Times New Roman" w:hAnsi="Times New Roman" w:eastAsia="仿宋_GB2312" w:cs="仿宋_GB2312"/>
          <w:color w:val="000000"/>
          <w:sz w:val="32"/>
          <w:szCs w:val="32"/>
        </w:rPr>
        <w:t>的招标文件及招标采购过程中出具的答疑、补正、澄清文件；</w:t>
      </w:r>
    </w:p>
    <w:p w14:paraId="7EAA1C5C">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乙方作为项目投标人对本项目招标做出实质响应的投标文件及其随附材料。</w:t>
      </w:r>
    </w:p>
    <w:p w14:paraId="75688BF5">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投标人在投标或标后合同谈判现场做出的由乙方投标代表实施的述标内容、述标文件及经乙方谈判代表签字确认的谈判记录。</w:t>
      </w:r>
    </w:p>
    <w:p w14:paraId="6FBA53A6">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本合同附件（《供需双方廉洁互保协议》、《深圳市鹏劳人力资源管理有限公司供应商环境及职业健康安全体系符合性承诺书》）</w:t>
      </w:r>
    </w:p>
    <w:p w14:paraId="7F454B3E">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本合同未尽事宜，由双方协商解决，形成书面补充协议，双方签字盖章后生效。</w:t>
      </w:r>
    </w:p>
    <w:p w14:paraId="5BADB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14:paraId="0FC6C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本合同适用《中华人民共和国民法典》等法律。</w:t>
      </w:r>
    </w:p>
    <w:p w14:paraId="184B9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甲乙双方同意且认可</w:t>
      </w:r>
      <w:r>
        <w:rPr>
          <w:rFonts w:hint="eastAsia" w:ascii="仿宋_GB2312" w:hAnsi="仿宋_GB2312" w:eastAsia="仿宋_GB2312" w:cs="仿宋_GB2312"/>
          <w:b w:val="0"/>
          <w:bCs/>
          <w:sz w:val="32"/>
          <w:szCs w:val="32"/>
          <w:highlight w:val="none"/>
          <w:lang w:val="en-US" w:eastAsia="zh-CN"/>
        </w:rPr>
        <w:t>本项目招标</w:t>
      </w:r>
      <w:r>
        <w:rPr>
          <w:rFonts w:hint="eastAsia" w:ascii="仿宋_GB2312" w:hAnsi="仿宋_GB2312" w:eastAsia="仿宋_GB2312" w:cs="仿宋_GB2312"/>
          <w:b w:val="0"/>
          <w:bCs/>
          <w:sz w:val="32"/>
          <w:szCs w:val="32"/>
          <w:highlight w:val="none"/>
        </w:rPr>
        <w:t>文件</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投标文件、合同谈判记录、合同文本之间</w:t>
      </w:r>
      <w:r>
        <w:rPr>
          <w:rFonts w:hint="eastAsia" w:ascii="仿宋_GB2312" w:hAnsi="仿宋_GB2312" w:eastAsia="仿宋_GB2312" w:cs="仿宋_GB2312"/>
          <w:b w:val="0"/>
          <w:bCs/>
          <w:sz w:val="32"/>
          <w:szCs w:val="32"/>
          <w:highlight w:val="none"/>
        </w:rPr>
        <w:t>存在冲突的，以</w:t>
      </w:r>
      <w:r>
        <w:rPr>
          <w:rFonts w:hint="eastAsia" w:ascii="仿宋_GB2312" w:hAnsi="仿宋_GB2312" w:eastAsia="仿宋_GB2312" w:cs="仿宋_GB2312"/>
          <w:b w:val="0"/>
          <w:bCs/>
          <w:sz w:val="32"/>
          <w:szCs w:val="32"/>
          <w:highlight w:val="none"/>
          <w:lang w:val="en-US" w:eastAsia="zh-CN"/>
        </w:rPr>
        <w:t>最</w:t>
      </w:r>
      <w:r>
        <w:rPr>
          <w:rFonts w:hint="eastAsia" w:ascii="仿宋_GB2312" w:hAnsi="仿宋_GB2312" w:eastAsia="仿宋_GB2312" w:cs="仿宋_GB2312"/>
          <w:b w:val="0"/>
          <w:bCs/>
          <w:sz w:val="32"/>
          <w:szCs w:val="32"/>
          <w:highlight w:val="none"/>
        </w:rPr>
        <w:t>有利于甲方</w:t>
      </w:r>
      <w:r>
        <w:rPr>
          <w:rFonts w:hint="eastAsia" w:ascii="仿宋_GB2312" w:hAnsi="仿宋_GB2312" w:eastAsia="仿宋_GB2312" w:cs="仿宋_GB2312"/>
          <w:b w:val="0"/>
          <w:bCs/>
          <w:sz w:val="32"/>
          <w:szCs w:val="32"/>
          <w:highlight w:val="none"/>
          <w:lang w:val="en-US" w:eastAsia="zh-CN"/>
        </w:rPr>
        <w:t>的</w:t>
      </w:r>
      <w:r>
        <w:rPr>
          <w:rFonts w:hint="eastAsia" w:ascii="仿宋_GB2312" w:hAnsi="仿宋_GB2312" w:eastAsia="仿宋_GB2312" w:cs="仿宋_GB2312"/>
          <w:b w:val="0"/>
          <w:bCs/>
          <w:sz w:val="32"/>
          <w:szCs w:val="32"/>
          <w:highlight w:val="none"/>
        </w:rPr>
        <w:t>内容为准</w:t>
      </w:r>
      <w:r>
        <w:rPr>
          <w:rFonts w:hint="eastAsia" w:ascii="仿宋_GB2312" w:hAnsi="仿宋_GB2312" w:eastAsia="仿宋_GB2312" w:cs="仿宋_GB2312"/>
          <w:b w:val="0"/>
          <w:bCs/>
          <w:sz w:val="32"/>
          <w:szCs w:val="32"/>
          <w:highlight w:val="none"/>
          <w:lang w:eastAsia="zh-CN"/>
        </w:rPr>
        <w:t>。</w:t>
      </w:r>
    </w:p>
    <w:p w14:paraId="3D00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甲乙双方如果发生争议，应当友好协商解决，如协商不成，提交罗湖人民法院解决。</w:t>
      </w:r>
    </w:p>
    <w:p w14:paraId="67A80090">
      <w:pPr>
        <w:pageBreakBefore w:val="0"/>
        <w:kinsoku/>
        <w:overflowPunct/>
        <w:topLinePunct w:val="0"/>
        <w:autoSpaceDE/>
        <w:autoSpaceDN/>
        <w:bidi w:val="0"/>
        <w:spacing w:line="560" w:lineRule="exact"/>
        <w:ind w:firstLine="729" w:firstLineChars="228"/>
        <w:rPr>
          <w:rFonts w:hint="eastAsia" w:ascii="仿宋_GB2312" w:hAnsi="仿宋_GB2312" w:eastAsia="仿宋_GB2312" w:cs="仿宋_GB2312"/>
          <w:b w:val="0"/>
          <w:bCs/>
          <w:sz w:val="32"/>
          <w:szCs w:val="32"/>
          <w:highlight w:val="none"/>
        </w:rPr>
      </w:pPr>
    </w:p>
    <w:p w14:paraId="5D66555B">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甲方：                          乙方：</w:t>
      </w:r>
    </w:p>
    <w:p w14:paraId="556FB743">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盖章：                          盖章：</w:t>
      </w:r>
    </w:p>
    <w:p w14:paraId="5C634BBC">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负责人签字：                    负责人签字</w:t>
      </w:r>
      <w:r>
        <w:rPr>
          <w:rFonts w:hint="eastAsia" w:ascii="仿宋_GB2312" w:hAnsi="仿宋_GB2312" w:eastAsia="仿宋_GB2312" w:cs="仿宋_GB2312"/>
          <w:b w:val="0"/>
          <w:bCs/>
          <w:sz w:val="32"/>
          <w:szCs w:val="32"/>
          <w:highlight w:val="none"/>
          <w:lang w:val="en-US" w:eastAsia="zh-CN"/>
        </w:rPr>
        <w:t>:</w:t>
      </w:r>
    </w:p>
    <w:p w14:paraId="64E809CA">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日期:                           日期：</w:t>
      </w:r>
      <w:r>
        <w:rPr>
          <w:rFonts w:hint="eastAsia" w:ascii="仿宋" w:hAnsi="仿宋" w:eastAsia="仿宋" w:cs="仿宋"/>
          <w:b w:val="0"/>
          <w:bCs/>
          <w:sz w:val="32"/>
          <w:szCs w:val="32"/>
          <w:highlight w:val="none"/>
        </w:rPr>
        <w:br w:type="page"/>
      </w:r>
    </w:p>
    <w:p w14:paraId="142D5FCD">
      <w:pPr>
        <w:spacing w:line="240" w:lineRule="exact"/>
        <w:rPr>
          <w:rFonts w:ascii="仿宋" w:hAnsi="仿宋" w:eastAsia="仿宋" w:cs="仿宋"/>
          <w:szCs w:val="21"/>
        </w:rPr>
      </w:pPr>
      <w:r>
        <w:rPr>
          <w:rFonts w:hint="eastAsia" w:ascii="仿宋" w:hAnsi="仿宋" w:eastAsia="仿宋" w:cs="仿宋"/>
          <w:szCs w:val="21"/>
        </w:rPr>
        <w:t>采购合同附件1：</w:t>
      </w:r>
    </w:p>
    <w:p w14:paraId="786EA278">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14:paraId="11E1888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14:paraId="6CA9F84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14:paraId="32E6D0E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14:paraId="7D9851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第一条 甲乙双方共同的权利和义务：</w:t>
      </w:r>
    </w:p>
    <w:p w14:paraId="45400B6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1.严格遵守国家有关法律法规，坚持诚实守信原则，恪守商业道德，规范商务人员廉洁从业行为；</w:t>
      </w:r>
    </w:p>
    <w:p w14:paraId="4D26C71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2.双方业务活动坚持公开、公正、诚信、透明的原则（商业秘密和合同文件另有规定的除外），不得损害国家和对方利益；</w:t>
      </w:r>
    </w:p>
    <w:p w14:paraId="2F1E5DF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3.发现对方工作人员在业务活动中有违反廉洁规定的行为，有及时要求对方纠正并向对方举报的权利和义务；涉嫌违法的，可以依法向有关部门举报；</w:t>
      </w:r>
    </w:p>
    <w:p w14:paraId="7F94B00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4.对涉嫌不廉洁的商业行为进行调查时，双方有相互配合、提供证据、作证的义务；</w:t>
      </w:r>
    </w:p>
    <w:p w14:paraId="4AD0BE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 xml:space="preserve">5.双方应依法保护举报人员，不得以任何方式对举报人员进行打击报复。 </w:t>
      </w:r>
    </w:p>
    <w:p w14:paraId="194010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第二条 甲方的廉洁责任：</w:t>
      </w:r>
    </w:p>
    <w:p w14:paraId="6E86A44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1.甲方工作人员不得以任何形式索要或接受乙方的礼金、礼品和有价证券，不得在乙方报销任何应由个人支付的各种费用；</w:t>
      </w:r>
    </w:p>
    <w:p w14:paraId="4E1112C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2.甲方工作人员不得私自参加乙方安排的宴请，不得私自接受乙方提供的通讯、交通工具和办公用品，不得向乙方泄露谈判中的商业秘密；</w:t>
      </w:r>
    </w:p>
    <w:p w14:paraId="7004EFF6">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3.甲方工作人员不得要求或者接受乙方以住房装修、婚丧嫁娶、家属及其他亲属的工作安排、出国出境、旅游等为理由所提供的方便；</w:t>
      </w:r>
    </w:p>
    <w:p w14:paraId="33144D9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4.甲方工作人员不得以任何理由向乙方推荐物资供应单位、工程承包或劳务分包单位，合同另有约定的除外；</w:t>
      </w:r>
    </w:p>
    <w:p w14:paraId="29BB6C4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C1CBBC8">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第三条 乙方的廉洁责任：</w:t>
      </w:r>
    </w:p>
    <w:p w14:paraId="790E240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1.乙方及其工作人员不得为甲方工作人员提供回扣、礼金、有价证券、贵重物品和报销个人费用；</w:t>
      </w:r>
    </w:p>
    <w:p w14:paraId="1F9177C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2.乙方及其工作人员不得为甲方工作人员安排有可能影响公平、公正交易的宴请、健身、娱乐等活动；</w:t>
      </w:r>
    </w:p>
    <w:p w14:paraId="413F5B7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3.乙方及其工作人员不得为甲方工作人员投资入股、个人借款或买卖股票、债券、购买或装修住房、婚丧嫁娶、配偶子女上学或工作安排以及出国出境、旅游等提供方便；</w:t>
      </w:r>
    </w:p>
    <w:p w14:paraId="699EB4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4.乙方及其工作人员不得为甲方工作人员在其相关企业挂名兼职、合伙经营、介绍承揽业务等提供方便；</w:t>
      </w:r>
    </w:p>
    <w:p w14:paraId="6699858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D50ED4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14:paraId="1E6E403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14:paraId="72D472C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1.情节轻微的，要求乙方对相关工作人员进行处分处理，并限期整改；</w:t>
      </w:r>
    </w:p>
    <w:p w14:paraId="4F532B1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671202C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员工健康体检</w:t>
      </w:r>
      <w:r>
        <w:rPr>
          <w:rFonts w:hint="eastAsia" w:ascii="仿宋" w:hAnsi="仿宋" w:eastAsia="仿宋" w:cs="仿宋"/>
          <w:sz w:val="24"/>
        </w:rPr>
        <w:t>项目</w:t>
      </w:r>
      <w:r>
        <w:rPr>
          <w:rFonts w:hint="eastAsia" w:ascii="仿宋" w:hAnsi="仿宋" w:eastAsia="仿宋" w:cs="仿宋"/>
          <w:sz w:val="24"/>
          <w:lang w:val="en-US" w:eastAsia="zh-CN"/>
        </w:rPr>
        <w:t>合同</w:t>
      </w:r>
      <w:r>
        <w:rPr>
          <w:rFonts w:hint="eastAsia" w:ascii="仿宋" w:hAnsi="仿宋" w:eastAsia="仿宋" w:cs="仿宋"/>
          <w:sz w:val="24"/>
        </w:rPr>
        <w:t>》的组成部分，与《深圳市鹏劳人力资源管理有限公司202</w:t>
      </w:r>
      <w:r>
        <w:rPr>
          <w:rFonts w:hint="eastAsia" w:ascii="仿宋" w:hAnsi="仿宋" w:eastAsia="仿宋" w:cs="仿宋"/>
          <w:sz w:val="24"/>
          <w:lang w:val="en-US" w:eastAsia="zh-CN"/>
        </w:rPr>
        <w:t>5</w:t>
      </w:r>
      <w:r>
        <w:rPr>
          <w:rFonts w:hint="eastAsia" w:ascii="仿宋" w:hAnsi="仿宋" w:eastAsia="仿宋" w:cs="仿宋"/>
          <w:sz w:val="24"/>
        </w:rPr>
        <w:t>年员工</w:t>
      </w:r>
      <w:r>
        <w:rPr>
          <w:rFonts w:hint="eastAsia" w:ascii="仿宋" w:hAnsi="仿宋" w:eastAsia="仿宋" w:cs="仿宋"/>
          <w:sz w:val="24"/>
          <w:lang w:val="en-US" w:eastAsia="zh-CN"/>
        </w:rPr>
        <w:t>健康体检项目</w:t>
      </w:r>
      <w:r>
        <w:rPr>
          <w:rFonts w:hint="eastAsia" w:ascii="仿宋" w:hAnsi="仿宋" w:eastAsia="仿宋" w:cs="仿宋"/>
          <w:sz w:val="24"/>
        </w:rPr>
        <w:t>合同》具有同等法律效力。</w:t>
      </w:r>
    </w:p>
    <w:p w14:paraId="5F672B7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14:paraId="527181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p>
    <w:p w14:paraId="2DA61F9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4"/>
        </w:rPr>
      </w:pPr>
      <w:r>
        <w:rPr>
          <w:rFonts w:hint="eastAsia" w:ascii="仿宋" w:hAnsi="仿宋" w:eastAsia="仿宋" w:cs="仿宋"/>
          <w:sz w:val="24"/>
        </w:rPr>
        <w:t>甲方：（盖章）                           乙方：（盖章）</w:t>
      </w:r>
    </w:p>
    <w:p w14:paraId="6EFCEE7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8"/>
          <w:szCs w:val="28"/>
        </w:rPr>
      </w:pPr>
      <w:r>
        <w:rPr>
          <w:rFonts w:hint="eastAsia" w:ascii="仿宋" w:hAnsi="仿宋" w:eastAsia="仿宋" w:cs="仿宋"/>
          <w:sz w:val="24"/>
        </w:rPr>
        <w:t>法定代表人或授权代表：（签字）           法定代表人或授权代表：（签字）   日期：                                   日期：</w:t>
      </w:r>
    </w:p>
    <w:p w14:paraId="3D608303">
      <w:pPr>
        <w:keepNext w:val="0"/>
        <w:keepLines w:val="0"/>
        <w:pageBreakBefore w:val="0"/>
        <w:widowControl w:val="0"/>
        <w:kinsoku/>
        <w:overflowPunct/>
        <w:topLinePunct w:val="0"/>
        <w:autoSpaceDE/>
        <w:autoSpaceDN/>
        <w:bidi w:val="0"/>
        <w:adjustRightInd/>
        <w:snapToGrid/>
        <w:spacing w:line="320" w:lineRule="exact"/>
        <w:ind w:right="0" w:rightChars="0"/>
        <w:textAlignment w:val="auto"/>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14:paraId="1E536DD6">
      <w:pPr>
        <w:spacing w:line="40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深圳市鹏劳人力资源管理有限公司供应商环境及职业健康安全体系符合性承诺书</w:t>
      </w:r>
    </w:p>
    <w:p w14:paraId="016D3727">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甲方：深圳市鹏劳人力资源管理有限公司</w:t>
      </w:r>
    </w:p>
    <w:p w14:paraId="12CC94E2">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w:t>
      </w:r>
    </w:p>
    <w:p w14:paraId="1929AC7A">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14:paraId="4E0D2D8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14:paraId="3F95BE2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1C531E64">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11069D3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1486354E">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14:paraId="530F53F9">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14:paraId="6F473832">
      <w:pPr>
        <w:pStyle w:val="19"/>
        <w:keepNext w:val="0"/>
        <w:keepLines w:val="0"/>
        <w:pageBreakBefore w:val="0"/>
        <w:widowControl w:val="0"/>
        <w:numPr>
          <w:ilvl w:val="0"/>
          <w:numId w:val="13"/>
        </w:numPr>
        <w:kinsoku/>
        <w:wordWrap/>
        <w:overflowPunct/>
        <w:topLinePunct w:val="0"/>
        <w:autoSpaceDE/>
        <w:autoSpaceDN/>
        <w:bidi w:val="0"/>
        <w:adjustRightInd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F62A7DA">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381D132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14:paraId="6FD6C2A8">
      <w:pPr>
        <w:widowControl w:val="0"/>
        <w:spacing w:line="320" w:lineRule="exact"/>
        <w:ind w:left="426" w:firstLine="480"/>
        <w:rPr>
          <w:rFonts w:ascii="仿宋" w:hAnsi="仿宋" w:eastAsia="仿宋"/>
          <w:sz w:val="24"/>
        </w:rPr>
      </w:pPr>
    </w:p>
    <w:p w14:paraId="20705986">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14:paraId="1B0BF301">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14:paraId="50377986">
      <w:pPr>
        <w:widowControl w:val="0"/>
        <w:spacing w:line="320" w:lineRule="exact"/>
        <w:ind w:left="426" w:firstLine="480"/>
        <w:rPr>
          <w:rFonts w:ascii="仿宋" w:hAnsi="仿宋" w:eastAsia="仿宋"/>
          <w:sz w:val="24"/>
        </w:rPr>
      </w:pPr>
      <w:r>
        <w:rPr>
          <w:rFonts w:hint="eastAsia" w:ascii="仿宋" w:hAnsi="仿宋" w:eastAsia="仿宋"/>
          <w:sz w:val="24"/>
        </w:rPr>
        <w:t>日期：</w:t>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53" w:name="_Toc17115"/>
      <w:r>
        <w:rPr>
          <w:rFonts w:hint="eastAsia" w:ascii="黑体" w:hAnsi="黑体" w:eastAsia="黑体" w:cs="黑体"/>
          <w:b w:val="0"/>
          <w:bCs/>
          <w:sz w:val="32"/>
          <w:szCs w:val="32"/>
          <w:highlight w:val="none"/>
        </w:rPr>
        <w:t>第四章 投标文件格式</w:t>
      </w:r>
      <w:bookmarkEnd w:id="52"/>
      <w:bookmarkEnd w:id="53"/>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rPr>
      </w:pPr>
      <w:bookmarkStart w:id="54" w:name="_Toc15150"/>
      <w:bookmarkStart w:id="55" w:name="_Toc27533"/>
      <w:r>
        <w:rPr>
          <w:rFonts w:hint="eastAsia" w:ascii="仿宋" w:hAnsi="仿宋" w:eastAsia="仿宋" w:cs="仿宋"/>
          <w:b w:val="0"/>
          <w:bCs/>
          <w:sz w:val="24"/>
          <w:szCs w:val="24"/>
          <w:highlight w:val="none"/>
        </w:rPr>
        <w:t>格式1：《唱标信封》</w:t>
      </w:r>
      <w:bookmarkEnd w:id="54"/>
      <w:bookmarkEnd w:id="55"/>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w w:val="95"/>
          <w:sz w:val="28"/>
          <w:szCs w:val="28"/>
          <w:highlight w:val="none"/>
          <w:lang w:val="en-US" w:eastAsia="zh-CN"/>
        </w:rPr>
      </w:pPr>
      <w:r>
        <w:rPr>
          <w:rFonts w:hint="eastAsia" w:ascii="Times New Roman" w:hAnsi="Times New Roman" w:eastAsia="仿宋_GB2312" w:cs="仿宋_GB2312"/>
          <w:b/>
          <w:bCs w:val="0"/>
          <w:w w:val="95"/>
          <w:sz w:val="28"/>
          <w:szCs w:val="28"/>
          <w:highlight w:val="none"/>
        </w:rPr>
        <w:t>项目名称：</w:t>
      </w:r>
      <w:r>
        <w:rPr>
          <w:rFonts w:hint="eastAsia" w:ascii="Times New Roman" w:hAnsi="Times New Roman" w:eastAsia="仿宋_GB2312" w:cs="仿宋_GB2312"/>
          <w:b w:val="0"/>
          <w:bCs/>
          <w:w w:val="95"/>
          <w:sz w:val="28"/>
          <w:szCs w:val="28"/>
          <w:highlight w:val="none"/>
          <w:u w:val="single"/>
        </w:rPr>
        <w:t>深圳市鹏劳人力资源管理有限公司</w:t>
      </w:r>
      <w:r>
        <w:rPr>
          <w:rFonts w:hint="eastAsia" w:ascii="Times New Roman" w:hAnsi="Times New Roman" w:eastAsia="仿宋_GB2312" w:cs="仿宋_GB2312"/>
          <w:b w:val="0"/>
          <w:bCs/>
          <w:w w:val="95"/>
          <w:sz w:val="28"/>
          <w:szCs w:val="28"/>
          <w:highlight w:val="none"/>
          <w:u w:val="single"/>
          <w:lang w:eastAsia="zh-CN"/>
        </w:rPr>
        <w:t>202</w:t>
      </w:r>
      <w:r>
        <w:rPr>
          <w:rFonts w:hint="eastAsia" w:ascii="Times New Roman" w:hAnsi="Times New Roman" w:eastAsia="仿宋_GB2312" w:cs="仿宋_GB2312"/>
          <w:b w:val="0"/>
          <w:bCs/>
          <w:w w:val="95"/>
          <w:sz w:val="28"/>
          <w:szCs w:val="28"/>
          <w:highlight w:val="none"/>
          <w:u w:val="single"/>
          <w:lang w:val="en-US" w:eastAsia="zh-CN"/>
        </w:rPr>
        <w:t>5</w:t>
      </w:r>
      <w:r>
        <w:rPr>
          <w:rFonts w:hint="eastAsia" w:ascii="Times New Roman" w:hAnsi="Times New Roman" w:eastAsia="仿宋_GB2312" w:cs="仿宋_GB2312"/>
          <w:b w:val="0"/>
          <w:bCs/>
          <w:w w:val="95"/>
          <w:sz w:val="28"/>
          <w:szCs w:val="28"/>
          <w:highlight w:val="none"/>
          <w:u w:val="single"/>
        </w:rPr>
        <w:t>年度员工健康体检</w:t>
      </w:r>
      <w:r>
        <w:rPr>
          <w:rFonts w:hint="eastAsia" w:ascii="Times New Roman" w:hAnsi="Times New Roman" w:eastAsia="仿宋_GB2312" w:cs="仿宋_GB2312"/>
          <w:b w:val="0"/>
          <w:bCs/>
          <w:w w:val="95"/>
          <w:sz w:val="28"/>
          <w:szCs w:val="28"/>
          <w:highlight w:val="none"/>
          <w:u w:val="single"/>
          <w:lang w:val="en-US" w:eastAsia="zh-CN"/>
        </w:rPr>
        <w:t>项目</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bCs w:val="0"/>
          <w:sz w:val="28"/>
          <w:szCs w:val="28"/>
          <w:highlight w:val="none"/>
        </w:rPr>
        <w:t>招标编号：</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u w:val="single"/>
          <w:lang w:eastAsia="zh-CN"/>
        </w:rPr>
        <w:t>PLHR-ZB-FW-202506</w:t>
      </w:r>
      <w:r>
        <w:rPr>
          <w:rFonts w:hint="eastAsia" w:ascii="Times New Roman" w:hAnsi="Times New Roman" w:eastAsia="仿宋_GB2312" w:cs="仿宋_GB2312"/>
          <w:b w:val="0"/>
          <w:bCs/>
          <w:sz w:val="28"/>
          <w:szCs w:val="28"/>
          <w:highlight w:val="none"/>
          <w:u w:val="single"/>
          <w:lang w:val="en-US" w:eastAsia="zh-CN"/>
        </w:rPr>
        <w:t xml:space="preserve">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投标人（盖章）：</w:t>
      </w:r>
      <w:r>
        <w:rPr>
          <w:rFonts w:hint="eastAsia" w:ascii="Times New Roman" w:hAnsi="Times New Roman" w:eastAsia="仿宋_GB2312" w:cs="仿宋_GB2312"/>
          <w:b w:val="0"/>
          <w:bCs/>
          <w:sz w:val="28"/>
          <w:szCs w:val="28"/>
          <w:highlight w:val="none"/>
          <w:u w:val="single"/>
          <w:lang w:val="en-US" w:eastAsia="zh-CN"/>
        </w:rPr>
        <w:t xml:space="preserve">                    </w:t>
      </w:r>
    </w:p>
    <w:p w14:paraId="2B330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法定代表人或授权委托人签字</w:t>
      </w:r>
      <w:r>
        <w:rPr>
          <w:rFonts w:hint="eastAsia" w:ascii="Times New Roman" w:hAnsi="Times New Roman" w:eastAsia="仿宋_GB2312" w:cs="仿宋_GB2312"/>
          <w:b w:val="0"/>
          <w:bCs/>
          <w:sz w:val="28"/>
          <w:szCs w:val="28"/>
          <w:highlight w:val="none"/>
        </w:rPr>
        <w:t>：</w:t>
      </w:r>
      <w:r>
        <w:rPr>
          <w:rFonts w:hint="eastAsia" w:ascii="Times New Roman" w:hAnsi="Times New Roman"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rPr>
      </w:pPr>
      <w:r>
        <w:rPr>
          <w:rFonts w:hint="eastAsia" w:ascii="Times New Roman" w:hAnsi="Times New Roman" w:eastAsia="仿宋_GB2312" w:cs="仿宋_GB2312"/>
          <w:b/>
          <w:bCs w:val="0"/>
          <w:sz w:val="28"/>
          <w:szCs w:val="28"/>
          <w:highlight w:val="none"/>
        </w:rPr>
        <w:t>投标日期：</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年</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月</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b w:val="0"/>
          <w:bCs/>
          <w:sz w:val="32"/>
          <w:szCs w:val="32"/>
          <w:highlight w:val="none"/>
          <w:lang w:eastAsia="zh-CN"/>
        </w:rPr>
        <w:t>202</w:t>
      </w:r>
      <w:r>
        <w:rPr>
          <w:rFonts w:hint="eastAsia" w:ascii="Times New Roman" w:hAnsi="Times New Roman" w:eastAsia="仿宋_GB2312" w:cs="仿宋_GB2312"/>
          <w:b w:val="0"/>
          <w:bCs/>
          <w:sz w:val="32"/>
          <w:szCs w:val="32"/>
          <w:highlight w:val="none"/>
          <w:lang w:val="en-US" w:eastAsia="zh-CN"/>
        </w:rPr>
        <w:t>5</w:t>
      </w:r>
      <w:r>
        <w:rPr>
          <w:rFonts w:hint="eastAsia" w:ascii="Times New Roman" w:hAnsi="Times New Roman" w:eastAsia="仿宋_GB2312" w:cs="仿宋_GB2312"/>
          <w:b w:val="0"/>
          <w:bCs/>
          <w:sz w:val="32"/>
          <w:szCs w:val="32"/>
          <w:highlight w:val="none"/>
        </w:rPr>
        <w:t>年</w:t>
      </w:r>
      <w:r>
        <w:rPr>
          <w:rFonts w:hint="eastAsia" w:ascii="Times New Roman" w:hAnsi="Times New Roman" w:eastAsia="仿宋_GB2312" w:cs="仿宋_GB2312"/>
          <w:b w:val="0"/>
          <w:bCs/>
          <w:sz w:val="32"/>
          <w:szCs w:val="32"/>
          <w:highlight w:val="none"/>
          <w:lang w:val="en-US" w:eastAsia="zh-CN"/>
        </w:rPr>
        <w:t>9</w:t>
      </w:r>
      <w:r>
        <w:rPr>
          <w:rFonts w:hint="eastAsia" w:ascii="Times New Roman" w:hAnsi="Times New Roman" w:eastAsia="仿宋_GB2312" w:cs="仿宋_GB2312"/>
          <w:b w:val="0"/>
          <w:bCs/>
          <w:sz w:val="32"/>
          <w:szCs w:val="32"/>
          <w:highlight w:val="none"/>
        </w:rPr>
        <w:t>月</w:t>
      </w:r>
      <w:r>
        <w:rPr>
          <w:rFonts w:hint="eastAsia" w:ascii="Times New Roman" w:hAnsi="Times New Roman" w:eastAsia="仿宋_GB2312" w:cs="仿宋_GB2312"/>
          <w:b w:val="0"/>
          <w:bCs/>
          <w:sz w:val="32"/>
          <w:szCs w:val="32"/>
          <w:highlight w:val="none"/>
          <w:lang w:val="en-US" w:eastAsia="zh-CN"/>
        </w:rPr>
        <w:t>3</w:t>
      </w:r>
      <w:r>
        <w:rPr>
          <w:rFonts w:hint="eastAsia" w:ascii="Times New Roman" w:hAnsi="Times New Roman" w:eastAsia="仿宋_GB2312" w:cs="仿宋_GB2312"/>
          <w:b w:val="0"/>
          <w:bCs/>
          <w:sz w:val="32"/>
          <w:szCs w:val="32"/>
          <w:highlight w:val="none"/>
        </w:rPr>
        <w:t>日</w:t>
      </w:r>
      <w:r>
        <w:rPr>
          <w:rFonts w:hint="eastAsia" w:ascii="Times New Roman" w:hAnsi="Times New Roman" w:eastAsia="仿宋_GB2312" w:cs="仿宋_GB2312"/>
          <w:b w:val="0"/>
          <w:bCs/>
          <w:sz w:val="32"/>
          <w:szCs w:val="32"/>
          <w:highlight w:val="none"/>
          <w:lang w:val="en-US" w:eastAsia="zh-CN"/>
        </w:rPr>
        <w:t>14</w:t>
      </w:r>
      <w:r>
        <w:rPr>
          <w:rFonts w:hint="eastAsia" w:ascii="Times New Roman" w:hAnsi="Times New Roman" w:eastAsia="仿宋_GB2312" w:cs="仿宋_GB2312"/>
          <w:b w:val="0"/>
          <w:bCs/>
          <w:sz w:val="32"/>
          <w:szCs w:val="32"/>
          <w:highlight w:val="none"/>
        </w:rPr>
        <w:t>时</w:t>
      </w:r>
      <w:r>
        <w:rPr>
          <w:rFonts w:hint="eastAsia" w:ascii="Times New Roman" w:hAnsi="Times New Roman" w:eastAsia="仿宋_GB2312" w:cs="仿宋_GB2312"/>
          <w:b w:val="0"/>
          <w:bCs/>
          <w:sz w:val="32"/>
          <w:szCs w:val="32"/>
          <w:highlight w:val="none"/>
          <w:lang w:val="en-US" w:eastAsia="zh-CN"/>
        </w:rPr>
        <w:t>30</w:t>
      </w:r>
      <w:r>
        <w:rPr>
          <w:rFonts w:hint="eastAsia" w:ascii="Times New Roman" w:hAnsi="Times New Roman" w:eastAsia="仿宋_GB2312" w:cs="仿宋_GB2312"/>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22490450">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7A88558">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4AC35025">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rPr>
      </w:pPr>
      <w:bookmarkStart w:id="56" w:name="_Toc23060"/>
      <w:bookmarkStart w:id="57" w:name="_Toc11637"/>
      <w:r>
        <w:rPr>
          <w:rFonts w:hint="eastAsia" w:ascii="仿宋" w:hAnsi="仿宋" w:eastAsia="仿宋" w:cs="仿宋"/>
          <w:b w:val="0"/>
          <w:bCs/>
          <w:sz w:val="24"/>
          <w:szCs w:val="24"/>
          <w:highlight w:val="none"/>
        </w:rPr>
        <w:t>格式2：开标一览表</w:t>
      </w:r>
      <w:bookmarkEnd w:id="56"/>
      <w:bookmarkEnd w:id="57"/>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4575A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p>
    <w:p w14:paraId="44FFDCA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z w:val="24"/>
          <w:szCs w:val="24"/>
          <w:highlight w:val="none"/>
        </w:rPr>
        <w:t>致：深圳市鹏劳人力资源管理有限公司</w:t>
      </w:r>
    </w:p>
    <w:p w14:paraId="06B3C3B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z w:val="24"/>
          <w:szCs w:val="24"/>
          <w:highlight w:val="none"/>
          <w:lang w:val="en-US" w:eastAsia="zh-CN"/>
        </w:rPr>
        <w:t>2025年度</w:t>
      </w:r>
      <w:r>
        <w:rPr>
          <w:rFonts w:hint="eastAsia" w:ascii="Times New Roman" w:hAnsi="Times New Roman" w:eastAsia="仿宋_GB2312" w:cs="仿宋_GB2312"/>
          <w:b w:val="0"/>
          <w:bCs/>
          <w:sz w:val="24"/>
          <w:szCs w:val="24"/>
          <w:highlight w:val="none"/>
          <w:lang w:eastAsia="zh-CN"/>
        </w:rPr>
        <w:t>员工</w:t>
      </w:r>
      <w:r>
        <w:rPr>
          <w:rFonts w:hint="eastAsia" w:ascii="Times New Roman" w:hAnsi="Times New Roman" w:eastAsia="仿宋_GB2312" w:cs="仿宋_GB2312"/>
          <w:b w:val="0"/>
          <w:bCs/>
          <w:sz w:val="24"/>
          <w:szCs w:val="24"/>
          <w:highlight w:val="none"/>
          <w:lang w:val="en-US" w:eastAsia="zh-CN"/>
        </w:rPr>
        <w:t>健康</w:t>
      </w:r>
      <w:r>
        <w:rPr>
          <w:rFonts w:hint="eastAsia" w:ascii="Times New Roman" w:hAnsi="Times New Roman" w:eastAsia="仿宋_GB2312" w:cs="仿宋_GB2312"/>
          <w:b w:val="0"/>
          <w:bCs/>
          <w:sz w:val="24"/>
          <w:szCs w:val="24"/>
          <w:highlight w:val="none"/>
        </w:rPr>
        <w:t>体检项目（招标</w:t>
      </w:r>
      <w:r>
        <w:rPr>
          <w:rFonts w:hint="eastAsia" w:ascii="Times New Roman" w:hAnsi="Times New Roman" w:eastAsia="仿宋_GB2312" w:cs="仿宋_GB2312"/>
          <w:b w:val="0"/>
          <w:bCs/>
          <w:sz w:val="24"/>
          <w:szCs w:val="24"/>
          <w:highlight w:val="none"/>
          <w:lang w:val="en-US" w:eastAsia="zh-CN"/>
        </w:rPr>
        <w:t>项目</w:t>
      </w:r>
      <w:r>
        <w:rPr>
          <w:rFonts w:hint="eastAsia" w:ascii="Times New Roman" w:hAnsi="Times New Roman" w:eastAsia="仿宋_GB2312" w:cs="仿宋_GB2312"/>
          <w:b w:val="0"/>
          <w:bCs/>
          <w:sz w:val="24"/>
          <w:szCs w:val="24"/>
          <w:highlight w:val="none"/>
        </w:rPr>
        <w:t>编号：</w:t>
      </w:r>
      <w:r>
        <w:rPr>
          <w:rFonts w:hint="eastAsia" w:ascii="Times New Roman" w:hAnsi="Times New Roman" w:eastAsia="仿宋_GB2312" w:cs="仿宋_GB2312"/>
          <w:b w:val="0"/>
          <w:bCs/>
          <w:sz w:val="24"/>
          <w:szCs w:val="24"/>
          <w:highlight w:val="none"/>
          <w:lang w:eastAsia="zh-CN"/>
        </w:rPr>
        <w:t>PLHR-ZB-FW-202506</w:t>
      </w:r>
      <w:r>
        <w:rPr>
          <w:rFonts w:hint="eastAsia" w:ascii="Times New Roman" w:hAnsi="Times New Roman" w:eastAsia="仿宋_GB2312" w:cs="仿宋_GB2312"/>
          <w:b w:val="0"/>
          <w:bCs/>
          <w:sz w:val="24"/>
          <w:szCs w:val="24"/>
          <w:highlight w:val="none"/>
        </w:rPr>
        <w:t>）投标报价如下</w:t>
      </w:r>
      <w:r>
        <w:rPr>
          <w:rFonts w:hint="eastAsia" w:ascii="Times New Roman" w:hAnsi="Times New Roman" w:eastAsia="仿宋_GB2312" w:cs="仿宋_GB2312"/>
          <w:b w:val="0"/>
          <w:bCs/>
          <w:sz w:val="24"/>
          <w:szCs w:val="24"/>
          <w:highlight w:val="none"/>
          <w:lang w:eastAsia="zh-CN"/>
        </w:rPr>
        <w:t>（</w:t>
      </w:r>
      <w:r>
        <w:rPr>
          <w:rFonts w:hint="eastAsia" w:ascii="Times New Roman" w:hAnsi="Times New Roman" w:eastAsia="仿宋_GB2312" w:cs="仿宋_GB2312"/>
          <w:b w:val="0"/>
          <w:bCs/>
          <w:sz w:val="24"/>
          <w:szCs w:val="24"/>
          <w:highlight w:val="none"/>
          <w:lang w:val="en-US" w:eastAsia="zh-CN"/>
        </w:rPr>
        <w:t>单位：元）</w:t>
      </w:r>
      <w:r>
        <w:rPr>
          <w:rFonts w:hint="eastAsia" w:ascii="Times New Roman" w:hAnsi="Times New Roman" w:eastAsia="仿宋_GB2312" w:cs="仿宋_GB2312"/>
          <w:b w:val="0"/>
          <w:bCs/>
          <w:sz w:val="24"/>
          <w:szCs w:val="24"/>
          <w:highlight w:val="none"/>
        </w:rPr>
        <w:t>：</w:t>
      </w:r>
    </w:p>
    <w:tbl>
      <w:tblPr>
        <w:tblStyle w:val="15"/>
        <w:tblpPr w:leftFromText="180" w:rightFromText="180" w:vertAnchor="text" w:horzAnchor="page" w:tblpXSpec="center" w:tblpY="18"/>
        <w:tblOverlap w:val="never"/>
        <w:tblW w:w="10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7"/>
        <w:gridCol w:w="3609"/>
        <w:gridCol w:w="1236"/>
        <w:gridCol w:w="1452"/>
        <w:gridCol w:w="1503"/>
        <w:gridCol w:w="1649"/>
      </w:tblGrid>
      <w:tr w14:paraId="5C62A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567" w:type="dxa"/>
            <w:tcBorders>
              <w:tl2br w:val="nil"/>
              <w:tr2bl w:val="nil"/>
            </w:tcBorders>
            <w:shd w:val="clear" w:color="auto" w:fill="auto"/>
            <w:noWrap/>
            <w:tcMar>
              <w:top w:w="15" w:type="dxa"/>
              <w:left w:w="15" w:type="dxa"/>
              <w:right w:w="15" w:type="dxa"/>
            </w:tcMar>
            <w:vAlign w:val="center"/>
          </w:tcPr>
          <w:p w14:paraId="6C40B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序号</w:t>
            </w:r>
          </w:p>
        </w:tc>
        <w:tc>
          <w:tcPr>
            <w:tcW w:w="3609" w:type="dxa"/>
            <w:tcBorders>
              <w:tl2br w:val="nil"/>
              <w:tr2bl w:val="nil"/>
            </w:tcBorders>
            <w:shd w:val="clear" w:color="auto" w:fill="auto"/>
            <w:noWrap/>
            <w:tcMar>
              <w:top w:w="15" w:type="dxa"/>
              <w:left w:w="15" w:type="dxa"/>
              <w:right w:w="15" w:type="dxa"/>
            </w:tcMar>
            <w:vAlign w:val="center"/>
          </w:tcPr>
          <w:p w14:paraId="3D5F5344">
            <w:pPr>
              <w:keepNext w:val="0"/>
              <w:keepLines w:val="0"/>
              <w:widowControl/>
              <w:suppressLineNumbers w:val="0"/>
              <w:jc w:val="center"/>
              <w:textAlignment w:val="center"/>
              <w:rPr>
                <w:rFonts w:hint="eastAsia" w:ascii="Times New Roman" w:hAnsi="Times New Roman" w:eastAsia="宋体" w:cs="宋体"/>
                <w:b/>
                <w:bCs w:val="0"/>
                <w:i w:val="0"/>
                <w:iCs w:val="0"/>
                <w:color w:val="000000"/>
                <w:kern w:val="2"/>
                <w:sz w:val="22"/>
                <w:szCs w:val="22"/>
                <w:u w:val="none"/>
                <w:lang w:val="en-US" w:eastAsia="zh-CN" w:bidi="ar-SA"/>
              </w:rPr>
            </w:pPr>
            <w:r>
              <w:rPr>
                <w:rFonts w:hint="eastAsia" w:ascii="Times New Roman" w:hAnsi="Times New Roman" w:eastAsia="宋体" w:cs="宋体"/>
                <w:b/>
                <w:bCs w:val="0"/>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14:paraId="2D6BB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分项单价</w:t>
            </w:r>
          </w:p>
          <w:p w14:paraId="15AB4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宋体"/>
                <w:b/>
                <w:bCs w:val="0"/>
                <w:i w:val="0"/>
                <w:color w:val="000000"/>
                <w:sz w:val="21"/>
                <w:szCs w:val="21"/>
                <w:highlight w:val="none"/>
                <w:u w:val="none"/>
                <w:lang w:val="en-US"/>
              </w:rPr>
            </w:pPr>
            <w:r>
              <w:rPr>
                <w:rFonts w:hint="eastAsia" w:ascii="Times New Roman" w:hAnsi="Times New Roman" w:eastAsia="宋体" w:cs="宋体"/>
                <w:b/>
                <w:bCs w:val="0"/>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14:paraId="3FABF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计划体检人数           （招标人提供）</w:t>
            </w:r>
          </w:p>
        </w:tc>
        <w:tc>
          <w:tcPr>
            <w:tcW w:w="1503" w:type="dxa"/>
            <w:tcBorders>
              <w:tl2br w:val="nil"/>
              <w:tr2bl w:val="nil"/>
            </w:tcBorders>
            <w:shd w:val="clear" w:color="auto" w:fill="auto"/>
            <w:noWrap/>
            <w:tcMar>
              <w:top w:w="15" w:type="dxa"/>
              <w:left w:w="15" w:type="dxa"/>
              <w:right w:w="15" w:type="dxa"/>
            </w:tcMar>
            <w:vAlign w:val="center"/>
          </w:tcPr>
          <w:p w14:paraId="019A3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分项计价</w:t>
            </w:r>
          </w:p>
          <w:p w14:paraId="2C238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（含增值税）</w:t>
            </w:r>
          </w:p>
        </w:tc>
        <w:tc>
          <w:tcPr>
            <w:tcW w:w="1649" w:type="dxa"/>
            <w:tcBorders>
              <w:tl2br w:val="nil"/>
              <w:tr2bl w:val="nil"/>
            </w:tcBorders>
            <w:shd w:val="clear" w:color="auto" w:fill="auto"/>
            <w:noWrap/>
            <w:tcMar>
              <w:top w:w="15" w:type="dxa"/>
              <w:left w:w="15" w:type="dxa"/>
              <w:right w:w="15" w:type="dxa"/>
            </w:tcMar>
            <w:vAlign w:val="center"/>
          </w:tcPr>
          <w:p w14:paraId="69AAE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备注</w:t>
            </w:r>
          </w:p>
        </w:tc>
      </w:tr>
      <w:tr w14:paraId="32AE5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D4D7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w:t>
            </w:r>
          </w:p>
        </w:tc>
        <w:tc>
          <w:tcPr>
            <w:tcW w:w="3609" w:type="dxa"/>
            <w:tcBorders>
              <w:tl2br w:val="nil"/>
              <w:tr2bl w:val="nil"/>
            </w:tcBorders>
            <w:shd w:val="clear" w:color="auto" w:fill="auto"/>
            <w:noWrap/>
            <w:tcMar>
              <w:top w:w="15" w:type="dxa"/>
              <w:left w:w="15" w:type="dxa"/>
              <w:right w:w="15" w:type="dxa"/>
            </w:tcMar>
            <w:vAlign w:val="center"/>
          </w:tcPr>
          <w:p w14:paraId="698CE68C">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14:paraId="7B2A87E1">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14F9CA7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1503" w:type="dxa"/>
            <w:tcBorders>
              <w:tl2br w:val="nil"/>
              <w:tr2bl w:val="nil"/>
            </w:tcBorders>
            <w:shd w:val="clear" w:color="auto" w:fill="auto"/>
            <w:noWrap/>
            <w:tcMar>
              <w:top w:w="15" w:type="dxa"/>
              <w:left w:w="15" w:type="dxa"/>
              <w:right w:w="15" w:type="dxa"/>
            </w:tcMar>
            <w:vAlign w:val="center"/>
          </w:tcPr>
          <w:p w14:paraId="3C4C793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3FC3232">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06E8F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385F6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2</w:t>
            </w:r>
          </w:p>
        </w:tc>
        <w:tc>
          <w:tcPr>
            <w:tcW w:w="3609" w:type="dxa"/>
            <w:tcBorders>
              <w:tl2br w:val="nil"/>
              <w:tr2bl w:val="nil"/>
            </w:tcBorders>
            <w:shd w:val="clear" w:color="auto" w:fill="auto"/>
            <w:noWrap/>
            <w:tcMar>
              <w:top w:w="15" w:type="dxa"/>
              <w:left w:w="15" w:type="dxa"/>
              <w:right w:w="15" w:type="dxa"/>
            </w:tcMar>
            <w:vAlign w:val="center"/>
          </w:tcPr>
          <w:p w14:paraId="7791B3AB">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14:paraId="1112AC6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9A60B5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1503" w:type="dxa"/>
            <w:tcBorders>
              <w:tl2br w:val="nil"/>
              <w:tr2bl w:val="nil"/>
            </w:tcBorders>
            <w:shd w:val="clear" w:color="auto" w:fill="auto"/>
            <w:noWrap/>
            <w:tcMar>
              <w:top w:w="15" w:type="dxa"/>
              <w:left w:w="15" w:type="dxa"/>
              <w:right w:w="15" w:type="dxa"/>
            </w:tcMar>
            <w:vAlign w:val="center"/>
          </w:tcPr>
          <w:p w14:paraId="2555220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CD4CDC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449D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A6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3</w:t>
            </w:r>
          </w:p>
        </w:tc>
        <w:tc>
          <w:tcPr>
            <w:tcW w:w="3609" w:type="dxa"/>
            <w:tcBorders>
              <w:tl2br w:val="nil"/>
              <w:tr2bl w:val="nil"/>
            </w:tcBorders>
            <w:shd w:val="clear" w:color="auto" w:fill="auto"/>
            <w:noWrap/>
            <w:tcMar>
              <w:top w:w="15" w:type="dxa"/>
              <w:left w:w="15" w:type="dxa"/>
              <w:right w:w="15" w:type="dxa"/>
            </w:tcMar>
            <w:vAlign w:val="center"/>
          </w:tcPr>
          <w:p w14:paraId="78992E25">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14:paraId="4B7BF47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665192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1503" w:type="dxa"/>
            <w:tcBorders>
              <w:tl2br w:val="nil"/>
              <w:tr2bl w:val="nil"/>
            </w:tcBorders>
            <w:shd w:val="clear" w:color="auto" w:fill="auto"/>
            <w:noWrap/>
            <w:tcMar>
              <w:top w:w="15" w:type="dxa"/>
              <w:left w:w="15" w:type="dxa"/>
              <w:right w:w="15" w:type="dxa"/>
            </w:tcMar>
            <w:vAlign w:val="center"/>
          </w:tcPr>
          <w:p w14:paraId="7E2FA21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8A7F44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48393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7E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4</w:t>
            </w:r>
          </w:p>
        </w:tc>
        <w:tc>
          <w:tcPr>
            <w:tcW w:w="3609" w:type="dxa"/>
            <w:tcBorders>
              <w:tl2br w:val="nil"/>
              <w:tr2bl w:val="nil"/>
            </w:tcBorders>
            <w:shd w:val="clear" w:color="auto" w:fill="auto"/>
            <w:noWrap/>
            <w:tcMar>
              <w:top w:w="15" w:type="dxa"/>
              <w:left w:w="15" w:type="dxa"/>
              <w:right w:w="15" w:type="dxa"/>
            </w:tcMar>
            <w:vAlign w:val="center"/>
          </w:tcPr>
          <w:p w14:paraId="483E6B64">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14:paraId="5B5BCE2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649967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1503" w:type="dxa"/>
            <w:tcBorders>
              <w:tl2br w:val="nil"/>
              <w:tr2bl w:val="nil"/>
            </w:tcBorders>
            <w:shd w:val="clear" w:color="auto" w:fill="auto"/>
            <w:noWrap/>
            <w:tcMar>
              <w:top w:w="15" w:type="dxa"/>
              <w:left w:w="15" w:type="dxa"/>
              <w:right w:w="15" w:type="dxa"/>
            </w:tcMar>
            <w:vAlign w:val="center"/>
          </w:tcPr>
          <w:p w14:paraId="095688F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92D631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30441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17AB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5</w:t>
            </w:r>
          </w:p>
        </w:tc>
        <w:tc>
          <w:tcPr>
            <w:tcW w:w="3609" w:type="dxa"/>
            <w:tcBorders>
              <w:tl2br w:val="nil"/>
              <w:tr2bl w:val="nil"/>
            </w:tcBorders>
            <w:shd w:val="clear" w:color="auto" w:fill="auto"/>
            <w:noWrap/>
            <w:tcMar>
              <w:top w:w="15" w:type="dxa"/>
              <w:left w:w="15" w:type="dxa"/>
              <w:right w:w="15" w:type="dxa"/>
            </w:tcMar>
            <w:vAlign w:val="center"/>
          </w:tcPr>
          <w:p w14:paraId="7E4A48B5">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14:paraId="78DA76A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7D2808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1503" w:type="dxa"/>
            <w:tcBorders>
              <w:tl2br w:val="nil"/>
              <w:tr2bl w:val="nil"/>
            </w:tcBorders>
            <w:shd w:val="clear" w:color="auto" w:fill="auto"/>
            <w:noWrap/>
            <w:tcMar>
              <w:top w:w="15" w:type="dxa"/>
              <w:left w:w="15" w:type="dxa"/>
              <w:right w:w="15" w:type="dxa"/>
            </w:tcMar>
            <w:vAlign w:val="center"/>
          </w:tcPr>
          <w:p w14:paraId="650CC39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56D453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FA11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B3FE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6</w:t>
            </w:r>
          </w:p>
        </w:tc>
        <w:tc>
          <w:tcPr>
            <w:tcW w:w="3609" w:type="dxa"/>
            <w:tcBorders>
              <w:tl2br w:val="nil"/>
              <w:tr2bl w:val="nil"/>
            </w:tcBorders>
            <w:shd w:val="clear" w:color="auto" w:fill="auto"/>
            <w:noWrap/>
            <w:tcMar>
              <w:top w:w="15" w:type="dxa"/>
              <w:left w:w="15" w:type="dxa"/>
              <w:right w:w="15" w:type="dxa"/>
            </w:tcMar>
            <w:vAlign w:val="center"/>
          </w:tcPr>
          <w:p w14:paraId="46B1B56A">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14:paraId="0D74090C">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487361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1503" w:type="dxa"/>
            <w:tcBorders>
              <w:tl2br w:val="nil"/>
              <w:tr2bl w:val="nil"/>
            </w:tcBorders>
            <w:shd w:val="clear" w:color="auto" w:fill="auto"/>
            <w:noWrap/>
            <w:tcMar>
              <w:top w:w="15" w:type="dxa"/>
              <w:left w:w="15" w:type="dxa"/>
              <w:right w:w="15" w:type="dxa"/>
            </w:tcMar>
            <w:vAlign w:val="center"/>
          </w:tcPr>
          <w:p w14:paraId="26EA791A">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DFDAEB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0EA3B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7876F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7</w:t>
            </w:r>
          </w:p>
        </w:tc>
        <w:tc>
          <w:tcPr>
            <w:tcW w:w="3609" w:type="dxa"/>
            <w:tcBorders>
              <w:tl2br w:val="nil"/>
              <w:tr2bl w:val="nil"/>
            </w:tcBorders>
            <w:shd w:val="clear" w:color="auto" w:fill="auto"/>
            <w:noWrap/>
            <w:tcMar>
              <w:top w:w="15" w:type="dxa"/>
              <w:left w:w="15" w:type="dxa"/>
              <w:right w:w="15" w:type="dxa"/>
            </w:tcMar>
            <w:vAlign w:val="center"/>
          </w:tcPr>
          <w:p w14:paraId="05FB4ED1">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14:paraId="7564CFD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427F0F5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1503" w:type="dxa"/>
            <w:tcBorders>
              <w:tl2br w:val="nil"/>
              <w:tr2bl w:val="nil"/>
            </w:tcBorders>
            <w:shd w:val="clear" w:color="auto" w:fill="auto"/>
            <w:noWrap/>
            <w:tcMar>
              <w:top w:w="15" w:type="dxa"/>
              <w:left w:w="15" w:type="dxa"/>
              <w:right w:w="15" w:type="dxa"/>
            </w:tcMar>
            <w:vAlign w:val="center"/>
          </w:tcPr>
          <w:p w14:paraId="5BB644D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56339DE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C2F3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0C0C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8</w:t>
            </w:r>
          </w:p>
        </w:tc>
        <w:tc>
          <w:tcPr>
            <w:tcW w:w="3609" w:type="dxa"/>
            <w:tcBorders>
              <w:tl2br w:val="nil"/>
              <w:tr2bl w:val="nil"/>
            </w:tcBorders>
            <w:shd w:val="clear" w:color="auto" w:fill="auto"/>
            <w:noWrap/>
            <w:tcMar>
              <w:top w:w="15" w:type="dxa"/>
              <w:left w:w="15" w:type="dxa"/>
              <w:right w:w="15" w:type="dxa"/>
            </w:tcMar>
            <w:vAlign w:val="center"/>
          </w:tcPr>
          <w:p w14:paraId="31458882">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14:paraId="7D32D651">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832AF9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0</w:t>
            </w:r>
          </w:p>
        </w:tc>
        <w:tc>
          <w:tcPr>
            <w:tcW w:w="1503" w:type="dxa"/>
            <w:tcBorders>
              <w:tl2br w:val="nil"/>
              <w:tr2bl w:val="nil"/>
            </w:tcBorders>
            <w:shd w:val="clear" w:color="auto" w:fill="auto"/>
            <w:noWrap/>
            <w:tcMar>
              <w:top w:w="15" w:type="dxa"/>
              <w:left w:w="15" w:type="dxa"/>
              <w:right w:w="15" w:type="dxa"/>
            </w:tcMar>
            <w:vAlign w:val="center"/>
          </w:tcPr>
          <w:p w14:paraId="07E8A76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A5C599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6E55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16D8A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9</w:t>
            </w:r>
          </w:p>
        </w:tc>
        <w:tc>
          <w:tcPr>
            <w:tcW w:w="3609" w:type="dxa"/>
            <w:tcBorders>
              <w:tl2br w:val="nil"/>
              <w:tr2bl w:val="nil"/>
            </w:tcBorders>
            <w:shd w:val="clear" w:color="auto" w:fill="auto"/>
            <w:noWrap/>
            <w:tcMar>
              <w:top w:w="15" w:type="dxa"/>
              <w:left w:w="15" w:type="dxa"/>
              <w:right w:w="15" w:type="dxa"/>
            </w:tcMar>
            <w:vAlign w:val="center"/>
          </w:tcPr>
          <w:p w14:paraId="2506EFB0">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14:paraId="1B4922FC">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F29059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25A8C83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6E029B8B">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663D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A7AD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10</w:t>
            </w:r>
          </w:p>
        </w:tc>
        <w:tc>
          <w:tcPr>
            <w:tcW w:w="3609" w:type="dxa"/>
            <w:tcBorders>
              <w:tl2br w:val="nil"/>
              <w:tr2bl w:val="nil"/>
            </w:tcBorders>
            <w:shd w:val="clear" w:color="auto" w:fill="auto"/>
            <w:noWrap/>
            <w:tcMar>
              <w:top w:w="15" w:type="dxa"/>
              <w:left w:w="15" w:type="dxa"/>
              <w:right w:w="15" w:type="dxa"/>
            </w:tcMar>
            <w:vAlign w:val="center"/>
          </w:tcPr>
          <w:p w14:paraId="4D8758AC">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14:paraId="258AF402">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00C538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1503" w:type="dxa"/>
            <w:tcBorders>
              <w:tl2br w:val="nil"/>
              <w:tr2bl w:val="nil"/>
            </w:tcBorders>
            <w:shd w:val="clear" w:color="auto" w:fill="auto"/>
            <w:noWrap/>
            <w:tcMar>
              <w:top w:w="15" w:type="dxa"/>
              <w:left w:w="15" w:type="dxa"/>
              <w:right w:w="15" w:type="dxa"/>
            </w:tcMar>
            <w:vAlign w:val="center"/>
          </w:tcPr>
          <w:p w14:paraId="2D9832A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7294D43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79B3D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5D4E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11</w:t>
            </w:r>
          </w:p>
        </w:tc>
        <w:tc>
          <w:tcPr>
            <w:tcW w:w="3609" w:type="dxa"/>
            <w:tcBorders>
              <w:tl2br w:val="nil"/>
              <w:tr2bl w:val="nil"/>
            </w:tcBorders>
            <w:shd w:val="clear" w:color="auto" w:fill="auto"/>
            <w:noWrap/>
            <w:tcMar>
              <w:top w:w="15" w:type="dxa"/>
              <w:left w:w="15" w:type="dxa"/>
              <w:right w:w="15" w:type="dxa"/>
            </w:tcMar>
            <w:vAlign w:val="center"/>
          </w:tcPr>
          <w:p w14:paraId="52042CC7">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14:paraId="7DC250E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689054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1503" w:type="dxa"/>
            <w:tcBorders>
              <w:tl2br w:val="nil"/>
              <w:tr2bl w:val="nil"/>
            </w:tcBorders>
            <w:shd w:val="clear" w:color="auto" w:fill="auto"/>
            <w:noWrap/>
            <w:tcMar>
              <w:top w:w="15" w:type="dxa"/>
              <w:left w:w="15" w:type="dxa"/>
              <w:right w:w="15" w:type="dxa"/>
            </w:tcMar>
            <w:vAlign w:val="center"/>
          </w:tcPr>
          <w:p w14:paraId="05CB3BCA">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3B8FC3">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F431A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5A66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12</w:t>
            </w:r>
          </w:p>
        </w:tc>
        <w:tc>
          <w:tcPr>
            <w:tcW w:w="3609" w:type="dxa"/>
            <w:tcBorders>
              <w:tl2br w:val="nil"/>
              <w:tr2bl w:val="nil"/>
            </w:tcBorders>
            <w:shd w:val="clear" w:color="auto" w:fill="auto"/>
            <w:noWrap/>
            <w:tcMar>
              <w:top w:w="15" w:type="dxa"/>
              <w:left w:w="15" w:type="dxa"/>
              <w:right w:w="15" w:type="dxa"/>
            </w:tcMar>
            <w:vAlign w:val="center"/>
          </w:tcPr>
          <w:p w14:paraId="7E8B2E69">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14:paraId="65B8E87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3C0951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4ADE433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1D4C5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0750E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14:paraId="7489C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14:paraId="5CB1F59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宋体"/>
                <w:b/>
                <w:bCs w:val="0"/>
                <w:i w:val="0"/>
                <w:color w:val="000000"/>
                <w:sz w:val="21"/>
                <w:szCs w:val="21"/>
                <w:highlight w:val="none"/>
                <w:u w:val="none"/>
                <w:lang w:val="en-US" w:eastAsia="zh-CN"/>
              </w:rPr>
            </w:pPr>
            <w:r>
              <w:rPr>
                <w:rFonts w:hint="eastAsia" w:ascii="Times New Roman" w:hAnsi="Times New Roman" w:eastAsia="宋体" w:cs="宋体"/>
                <w:b/>
                <w:bCs w:val="0"/>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14:paraId="727063B1">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146</w:t>
            </w:r>
          </w:p>
        </w:tc>
        <w:tc>
          <w:tcPr>
            <w:tcW w:w="1503" w:type="dxa"/>
            <w:tcBorders>
              <w:tl2br w:val="nil"/>
              <w:tr2bl w:val="nil"/>
            </w:tcBorders>
            <w:shd w:val="clear" w:color="auto" w:fill="auto"/>
            <w:noWrap/>
            <w:tcMar>
              <w:top w:w="15" w:type="dxa"/>
              <w:left w:w="15" w:type="dxa"/>
              <w:right w:w="15" w:type="dxa"/>
            </w:tcMar>
            <w:vAlign w:val="center"/>
          </w:tcPr>
          <w:p w14:paraId="6584836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7C983D4">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bl>
    <w:p w14:paraId="7E4FD1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val="0"/>
          <w:bCs/>
          <w:sz w:val="21"/>
          <w:szCs w:val="21"/>
          <w:highlight w:val="none"/>
        </w:rPr>
      </w:pPr>
      <w:r>
        <w:rPr>
          <w:rFonts w:hint="eastAsia" w:ascii="Times New Roman" w:hAnsi="Times New Roman" w:eastAsia="仿宋_GB2312" w:cs="仿宋"/>
          <w:b w:val="0"/>
          <w:bCs/>
          <w:sz w:val="21"/>
          <w:szCs w:val="21"/>
          <w:highlight w:val="none"/>
        </w:rPr>
        <w:t xml:space="preserve">说明： </w:t>
      </w:r>
    </w:p>
    <w:p w14:paraId="0F8CE30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399E3F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2.投标人如需对报价或其它内容加以说明，可在备注栏填写；</w:t>
      </w:r>
    </w:p>
    <w:p w14:paraId="13C23D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3.此表应经法定代表人或授权代表人签名，并加盖投标人单位公章，否则无效，作废标处理。</w:t>
      </w:r>
    </w:p>
    <w:p w14:paraId="76F8252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14:paraId="7075940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5.投标总报价不得超过本项目限价</w:t>
      </w:r>
      <w:r>
        <w:rPr>
          <w:rFonts w:hint="eastAsia" w:ascii="仿宋_GB2312" w:hAnsi="仿宋_GB2312" w:eastAsia="仿宋_GB2312" w:cs="仿宋_GB2312"/>
          <w:b w:val="0"/>
          <w:bCs/>
          <w:sz w:val="21"/>
          <w:szCs w:val="21"/>
          <w:highlight w:val="none"/>
          <w:lang w:val="en-US" w:eastAsia="zh-CN"/>
        </w:rPr>
        <w:t>人民币</w:t>
      </w:r>
      <w:r>
        <w:rPr>
          <w:rFonts w:hint="default" w:ascii="Times New Roman" w:hAnsi="Times New Roman" w:eastAsia="仿宋_GB2312" w:cs="Times New Roman"/>
          <w:b w:val="0"/>
          <w:bCs/>
          <w:sz w:val="21"/>
          <w:szCs w:val="21"/>
          <w:highlight w:val="none"/>
          <w:lang w:val="en-US" w:eastAsia="zh-CN"/>
        </w:rPr>
        <w:t>377500</w:t>
      </w:r>
      <w:r>
        <w:rPr>
          <w:rFonts w:hint="default" w:ascii="Times New Roman" w:hAnsi="Times New Roman" w:eastAsia="仿宋_GB2312" w:cs="Times New Roman"/>
          <w:b w:val="0"/>
          <w:bCs/>
          <w:sz w:val="21"/>
          <w:szCs w:val="21"/>
          <w:highlight w:val="none"/>
        </w:rPr>
        <w:t>元</w:t>
      </w:r>
      <w:r>
        <w:rPr>
          <w:rFonts w:hint="default" w:ascii="Times New Roman" w:hAnsi="Times New Roman" w:eastAsia="仿宋_GB2312" w:cs="Times New Roman"/>
          <w:b w:val="0"/>
          <w:bCs/>
          <w:sz w:val="21"/>
          <w:szCs w:val="21"/>
          <w:highlight w:val="none"/>
          <w:lang w:eastAsia="zh-CN"/>
        </w:rPr>
        <w:t>（</w:t>
      </w:r>
      <w:r>
        <w:rPr>
          <w:rFonts w:hint="eastAsia" w:ascii="仿宋_GB2312" w:hAnsi="仿宋_GB2312" w:eastAsia="仿宋_GB2312" w:cs="仿宋_GB2312"/>
          <w:b w:val="0"/>
          <w:bCs/>
          <w:sz w:val="21"/>
          <w:szCs w:val="21"/>
          <w:highlight w:val="none"/>
          <w:lang w:val="en-US" w:eastAsia="zh-CN"/>
        </w:rPr>
        <w:t>含增值税）</w:t>
      </w:r>
      <w:r>
        <w:rPr>
          <w:rFonts w:hint="eastAsia" w:ascii="仿宋_GB2312" w:hAnsi="仿宋_GB2312" w:eastAsia="仿宋_GB2312" w:cs="仿宋_GB2312"/>
          <w:b w:val="0"/>
          <w:bCs/>
          <w:sz w:val="21"/>
          <w:szCs w:val="21"/>
          <w:highlight w:val="none"/>
        </w:rPr>
        <w:t>，否则按废标处理。</w:t>
      </w:r>
    </w:p>
    <w:p w14:paraId="615DBEF7">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33DFE78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03CC0E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投标人（盖章）：</w:t>
      </w:r>
    </w:p>
    <w:p w14:paraId="4FBD6F5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法定代表人（或授权委托人）签名：</w:t>
      </w:r>
    </w:p>
    <w:p w14:paraId="796AE68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sectPr>
          <w:headerReference r:id="rId7" w:type="default"/>
          <w:footerReference r:id="rId8" w:type="default"/>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_GB2312" w:hAnsi="仿宋_GB2312" w:eastAsia="仿宋_GB2312" w:cs="仿宋_GB2312"/>
          <w:b w:val="0"/>
          <w:bCs/>
          <w:sz w:val="24"/>
          <w:szCs w:val="24"/>
          <w:highlight w:val="none"/>
        </w:rPr>
        <w:t>日   期：</w:t>
      </w:r>
    </w:p>
    <w:p w14:paraId="78BC93AE">
      <w:pPr>
        <w:pStyle w:val="4"/>
        <w:pageBreakBefore w:val="0"/>
        <w:kinsoku/>
        <w:overflowPunct/>
        <w:topLinePunct w:val="0"/>
        <w:autoSpaceDE/>
        <w:autoSpaceDN/>
        <w:bidi w:val="0"/>
        <w:spacing w:line="560" w:lineRule="exact"/>
        <w:ind w:firstLine="0" w:firstLineChars="0"/>
        <w:jc w:val="left"/>
        <w:rPr>
          <w:rFonts w:hint="eastAsia" w:ascii="仿宋_GB2312" w:hAnsi="仿宋_GB2312" w:eastAsia="仿宋_GB2312" w:cs="仿宋_GB2312"/>
          <w:b w:val="0"/>
          <w:bCs/>
          <w:sz w:val="24"/>
          <w:szCs w:val="24"/>
          <w:highlight w:val="none"/>
        </w:rPr>
      </w:pPr>
      <w:bookmarkStart w:id="58" w:name="_Toc16974"/>
      <w:bookmarkStart w:id="59" w:name="_Toc21663"/>
      <w:r>
        <w:rPr>
          <w:rFonts w:hint="eastAsia" w:ascii="仿宋_GB2312" w:hAnsi="仿宋_GB2312" w:eastAsia="仿宋_GB2312" w:cs="仿宋_GB2312"/>
          <w:b w:val="0"/>
          <w:bCs/>
          <w:sz w:val="24"/>
          <w:szCs w:val="24"/>
          <w:highlight w:val="none"/>
        </w:rPr>
        <w:t>格式</w:t>
      </w: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w:t>
      </w:r>
      <w:r>
        <w:rPr>
          <w:rFonts w:hint="eastAsia" w:ascii="仿宋_GB2312" w:hAnsi="仿宋_GB2312" w:eastAsia="仿宋_GB2312" w:cs="仿宋_GB2312"/>
          <w:b w:val="0"/>
          <w:bCs/>
          <w:sz w:val="24"/>
          <w:szCs w:val="24"/>
          <w:highlight w:val="none"/>
          <w:lang w:eastAsia="zh-CN"/>
        </w:rPr>
        <w:t>体检方案及</w:t>
      </w:r>
      <w:r>
        <w:rPr>
          <w:rFonts w:hint="eastAsia" w:ascii="仿宋_GB2312" w:hAnsi="仿宋_GB2312" w:eastAsia="仿宋_GB2312" w:cs="仿宋_GB2312"/>
          <w:b w:val="0"/>
          <w:bCs/>
          <w:sz w:val="24"/>
          <w:szCs w:val="24"/>
          <w:highlight w:val="none"/>
        </w:rPr>
        <w:t>报价表</w:t>
      </w:r>
      <w:bookmarkEnd w:id="58"/>
    </w:p>
    <w:p w14:paraId="11041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eastAsia="zh-CN"/>
        </w:rPr>
        <w:t>见</w:t>
      </w:r>
      <w:r>
        <w:rPr>
          <w:rFonts w:hint="eastAsia" w:ascii="Times New Roman" w:hAnsi="Times New Roman" w:eastAsia="仿宋_GB2312" w:cs="仿宋_GB2312"/>
          <w:b w:val="0"/>
          <w:bCs/>
          <w:sz w:val="32"/>
          <w:szCs w:val="32"/>
          <w:highlight w:val="none"/>
          <w:lang w:val="en-US" w:eastAsia="zh-CN"/>
        </w:rPr>
        <w:t>公开招标</w:t>
      </w:r>
      <w:r>
        <w:rPr>
          <w:rFonts w:hint="eastAsia" w:ascii="Times New Roman" w:hAnsi="Times New Roman" w:eastAsia="仿宋_GB2312" w:cs="仿宋_GB2312"/>
          <w:b w:val="0"/>
          <w:bCs/>
          <w:sz w:val="32"/>
          <w:szCs w:val="32"/>
          <w:highlight w:val="none"/>
          <w:lang w:eastAsia="zh-CN"/>
        </w:rPr>
        <w:t>公告附件</w:t>
      </w:r>
      <w:r>
        <w:rPr>
          <w:rFonts w:hint="eastAsia" w:ascii="Times New Roman" w:hAnsi="Times New Roman" w:eastAsia="仿宋_GB2312" w:cs="仿宋_GB2312"/>
          <w:b w:val="0"/>
          <w:bCs/>
          <w:sz w:val="32"/>
          <w:szCs w:val="32"/>
          <w:highlight w:val="none"/>
          <w:lang w:val="en-US" w:eastAsia="zh-CN"/>
        </w:rPr>
        <w:t>3《深圳市鹏劳人力资源管理有限公司2025年度员工健康体检项目体检方案及报价表》</w:t>
      </w:r>
    </w:p>
    <w:p w14:paraId="64DBC78D">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0005DE61">
      <w:pPr>
        <w:rPr>
          <w:rFonts w:hint="eastAsia" w:ascii="仿宋" w:hAnsi="仿宋" w:eastAsia="仿宋" w:cs="仿宋"/>
          <w:b w:val="0"/>
          <w:bCs/>
          <w:sz w:val="32"/>
          <w:szCs w:val="32"/>
          <w:highlight w:val="none"/>
          <w:lang w:val="zh-CN"/>
        </w:rPr>
      </w:pPr>
    </w:p>
    <w:p w14:paraId="7CBEFF8D">
      <w:pPr>
        <w:rPr>
          <w:rFonts w:hint="eastAsia" w:ascii="仿宋" w:hAnsi="仿宋" w:eastAsia="仿宋" w:cs="仿宋"/>
          <w:b w:val="0"/>
          <w:bCs/>
          <w:sz w:val="32"/>
          <w:szCs w:val="32"/>
          <w:highlight w:val="none"/>
          <w:lang w:val="zh-CN"/>
        </w:rPr>
      </w:pPr>
    </w:p>
    <w:p w14:paraId="2B1ADC62">
      <w:pPr>
        <w:rPr>
          <w:rFonts w:hint="eastAsia" w:ascii="仿宋" w:hAnsi="仿宋" w:eastAsia="仿宋" w:cs="仿宋"/>
          <w:b w:val="0"/>
          <w:bCs/>
          <w:sz w:val="32"/>
          <w:szCs w:val="32"/>
          <w:highlight w:val="none"/>
          <w:lang w:val="zh-CN"/>
        </w:rPr>
      </w:pPr>
    </w:p>
    <w:p w14:paraId="0145B0FB">
      <w:pPr>
        <w:rPr>
          <w:rFonts w:hint="eastAsia" w:ascii="仿宋" w:hAnsi="仿宋" w:eastAsia="仿宋" w:cs="仿宋"/>
          <w:b w:val="0"/>
          <w:bCs/>
          <w:sz w:val="32"/>
          <w:szCs w:val="32"/>
          <w:highlight w:val="none"/>
          <w:lang w:val="zh-CN"/>
        </w:rPr>
      </w:pPr>
    </w:p>
    <w:p w14:paraId="6068E7EC">
      <w:pPr>
        <w:rPr>
          <w:rFonts w:hint="eastAsia" w:ascii="仿宋" w:hAnsi="仿宋" w:eastAsia="仿宋" w:cs="仿宋"/>
          <w:b w:val="0"/>
          <w:bCs/>
          <w:sz w:val="32"/>
          <w:szCs w:val="32"/>
          <w:highlight w:val="none"/>
          <w:lang w:val="zh-CN"/>
        </w:rPr>
      </w:pPr>
    </w:p>
    <w:p w14:paraId="7C8773F0">
      <w:pPr>
        <w:rPr>
          <w:rFonts w:hint="eastAsia" w:ascii="仿宋" w:hAnsi="仿宋" w:eastAsia="仿宋" w:cs="仿宋"/>
          <w:b w:val="0"/>
          <w:bCs/>
          <w:sz w:val="32"/>
          <w:szCs w:val="32"/>
          <w:highlight w:val="none"/>
          <w:lang w:val="zh-CN"/>
        </w:rPr>
      </w:pPr>
    </w:p>
    <w:p w14:paraId="5CE9FEC0">
      <w:pPr>
        <w:rPr>
          <w:rFonts w:hint="eastAsia" w:ascii="仿宋" w:hAnsi="仿宋" w:eastAsia="仿宋" w:cs="仿宋"/>
          <w:b w:val="0"/>
          <w:bCs/>
          <w:sz w:val="32"/>
          <w:szCs w:val="32"/>
          <w:highlight w:val="none"/>
          <w:lang w:val="zh-CN"/>
        </w:rPr>
      </w:pPr>
    </w:p>
    <w:p w14:paraId="59A3D78C">
      <w:pPr>
        <w:rPr>
          <w:rFonts w:hint="eastAsia" w:ascii="仿宋" w:hAnsi="仿宋" w:eastAsia="仿宋" w:cs="仿宋"/>
          <w:b w:val="0"/>
          <w:bCs/>
          <w:sz w:val="32"/>
          <w:szCs w:val="32"/>
          <w:highlight w:val="none"/>
          <w:lang w:val="zh-CN"/>
        </w:rPr>
      </w:pPr>
    </w:p>
    <w:p w14:paraId="49C8A970">
      <w:pPr>
        <w:rPr>
          <w:rFonts w:hint="eastAsia" w:ascii="仿宋" w:hAnsi="仿宋" w:eastAsia="仿宋" w:cs="仿宋"/>
          <w:b w:val="0"/>
          <w:bCs/>
          <w:sz w:val="32"/>
          <w:szCs w:val="32"/>
          <w:highlight w:val="none"/>
          <w:lang w:val="zh-CN"/>
        </w:rPr>
      </w:pPr>
    </w:p>
    <w:p w14:paraId="44B46949">
      <w:pPr>
        <w:rPr>
          <w:rFonts w:hint="eastAsia" w:ascii="仿宋" w:hAnsi="仿宋" w:eastAsia="仿宋" w:cs="仿宋"/>
          <w:b w:val="0"/>
          <w:bCs/>
          <w:sz w:val="32"/>
          <w:szCs w:val="32"/>
          <w:highlight w:val="none"/>
          <w:lang w:val="zh-CN"/>
        </w:rPr>
      </w:pPr>
    </w:p>
    <w:p w14:paraId="7902D38E">
      <w:pPr>
        <w:rPr>
          <w:rFonts w:hint="eastAsia" w:ascii="仿宋" w:hAnsi="仿宋" w:eastAsia="仿宋" w:cs="仿宋"/>
          <w:b w:val="0"/>
          <w:bCs/>
          <w:sz w:val="32"/>
          <w:szCs w:val="32"/>
          <w:highlight w:val="none"/>
          <w:lang w:val="zh-CN"/>
        </w:rPr>
      </w:pPr>
    </w:p>
    <w:p w14:paraId="1BE623C1">
      <w:pPr>
        <w:rPr>
          <w:rFonts w:hint="eastAsia" w:ascii="仿宋" w:hAnsi="仿宋" w:eastAsia="仿宋" w:cs="仿宋"/>
          <w:b w:val="0"/>
          <w:bCs/>
          <w:sz w:val="32"/>
          <w:szCs w:val="32"/>
          <w:highlight w:val="none"/>
          <w:lang w:val="zh-CN"/>
        </w:rPr>
      </w:pPr>
    </w:p>
    <w:p w14:paraId="62C21784">
      <w:pPr>
        <w:rPr>
          <w:rFonts w:hint="eastAsia" w:ascii="仿宋" w:hAnsi="仿宋" w:eastAsia="仿宋" w:cs="仿宋"/>
          <w:b w:val="0"/>
          <w:bCs/>
          <w:sz w:val="32"/>
          <w:szCs w:val="32"/>
          <w:highlight w:val="none"/>
          <w:lang w:val="zh-CN"/>
        </w:rPr>
      </w:pPr>
    </w:p>
    <w:p w14:paraId="0A3BFDC5">
      <w:pPr>
        <w:rPr>
          <w:rFonts w:hint="eastAsia" w:ascii="仿宋" w:hAnsi="仿宋" w:eastAsia="仿宋" w:cs="仿宋"/>
          <w:b w:val="0"/>
          <w:bCs/>
          <w:sz w:val="32"/>
          <w:szCs w:val="32"/>
          <w:highlight w:val="none"/>
          <w:lang w:val="zh-CN"/>
        </w:rPr>
      </w:pPr>
    </w:p>
    <w:p w14:paraId="59EDA978">
      <w:pPr>
        <w:rPr>
          <w:rFonts w:hint="eastAsia" w:ascii="仿宋" w:hAnsi="仿宋" w:eastAsia="仿宋" w:cs="仿宋"/>
          <w:b w:val="0"/>
          <w:bCs/>
          <w:sz w:val="32"/>
          <w:szCs w:val="32"/>
          <w:highlight w:val="none"/>
          <w:lang w:val="zh-CN"/>
        </w:rPr>
      </w:pPr>
    </w:p>
    <w:p w14:paraId="51C8EE73">
      <w:pPr>
        <w:rPr>
          <w:rFonts w:hint="eastAsia" w:ascii="仿宋" w:hAnsi="仿宋" w:eastAsia="仿宋" w:cs="仿宋"/>
          <w:b w:val="0"/>
          <w:bCs/>
          <w:sz w:val="32"/>
          <w:szCs w:val="32"/>
          <w:highlight w:val="none"/>
          <w:lang w:val="zh-CN"/>
        </w:rPr>
      </w:pPr>
    </w:p>
    <w:p w14:paraId="05BDD0D7">
      <w:pPr>
        <w:rPr>
          <w:rFonts w:hint="eastAsia" w:ascii="仿宋" w:hAnsi="仿宋" w:eastAsia="仿宋" w:cs="仿宋"/>
          <w:b w:val="0"/>
          <w:bCs/>
          <w:sz w:val="32"/>
          <w:szCs w:val="32"/>
          <w:highlight w:val="none"/>
          <w:lang w:val="zh-CN"/>
        </w:rPr>
      </w:pPr>
    </w:p>
    <w:p w14:paraId="39CAE52B">
      <w:pPr>
        <w:rPr>
          <w:rFonts w:hint="eastAsia" w:ascii="仿宋" w:hAnsi="仿宋" w:eastAsia="仿宋" w:cs="仿宋"/>
          <w:b w:val="0"/>
          <w:bCs/>
          <w:sz w:val="32"/>
          <w:szCs w:val="32"/>
          <w:highlight w:val="none"/>
          <w:lang w:val="zh-CN"/>
        </w:rPr>
      </w:pPr>
    </w:p>
    <w:p w14:paraId="65630CA4">
      <w:pPr>
        <w:rPr>
          <w:rFonts w:hint="eastAsia" w:ascii="仿宋" w:hAnsi="仿宋" w:eastAsia="仿宋" w:cs="仿宋"/>
          <w:b w:val="0"/>
          <w:bCs/>
          <w:sz w:val="32"/>
          <w:szCs w:val="32"/>
          <w:highlight w:val="none"/>
          <w:lang w:val="zh-CN"/>
        </w:rPr>
      </w:pPr>
    </w:p>
    <w:p w14:paraId="73D06671">
      <w:pPr>
        <w:rPr>
          <w:rFonts w:hint="eastAsia" w:ascii="仿宋" w:hAnsi="仿宋" w:eastAsia="仿宋" w:cs="仿宋"/>
          <w:b w:val="0"/>
          <w:bCs/>
          <w:sz w:val="32"/>
          <w:szCs w:val="32"/>
          <w:highlight w:val="none"/>
          <w:lang w:val="zh-CN"/>
        </w:rPr>
      </w:pPr>
    </w:p>
    <w:p w14:paraId="659C904C">
      <w:pPr>
        <w:rPr>
          <w:rFonts w:hint="eastAsia" w:ascii="仿宋" w:hAnsi="仿宋" w:eastAsia="仿宋" w:cs="仿宋"/>
          <w:b w:val="0"/>
          <w:bCs/>
          <w:sz w:val="32"/>
          <w:szCs w:val="32"/>
          <w:highlight w:val="none"/>
          <w:lang w:val="zh-CN"/>
        </w:rPr>
      </w:pPr>
    </w:p>
    <w:p w14:paraId="5939AA31">
      <w:pPr>
        <w:rPr>
          <w:rFonts w:hint="eastAsia" w:ascii="仿宋" w:hAnsi="仿宋" w:eastAsia="仿宋" w:cs="仿宋"/>
          <w:b w:val="0"/>
          <w:bCs/>
          <w:sz w:val="32"/>
          <w:szCs w:val="32"/>
          <w:highlight w:val="none"/>
          <w:lang w:val="zh-CN"/>
        </w:rPr>
      </w:pPr>
    </w:p>
    <w:p w14:paraId="4634CDCB">
      <w:pPr>
        <w:rPr>
          <w:rFonts w:hint="eastAsia" w:ascii="仿宋" w:hAnsi="仿宋" w:eastAsia="仿宋" w:cs="仿宋"/>
          <w:b w:val="0"/>
          <w:bCs/>
          <w:sz w:val="32"/>
          <w:szCs w:val="32"/>
          <w:highlight w:val="none"/>
          <w:lang w:val="zh-CN"/>
        </w:rPr>
      </w:pPr>
    </w:p>
    <w:p w14:paraId="7C9129A8">
      <w:pPr>
        <w:rPr>
          <w:rFonts w:hint="eastAsia" w:ascii="仿宋" w:hAnsi="仿宋" w:eastAsia="仿宋" w:cs="仿宋"/>
          <w:b w:val="0"/>
          <w:bCs/>
          <w:sz w:val="32"/>
          <w:szCs w:val="32"/>
          <w:highlight w:val="none"/>
          <w:lang w:val="zh-CN"/>
        </w:rPr>
      </w:pPr>
    </w:p>
    <w:p w14:paraId="6C90CDDC">
      <w:pPr>
        <w:rPr>
          <w:rFonts w:hint="eastAsia" w:ascii="仿宋" w:hAnsi="仿宋" w:eastAsia="仿宋" w:cs="仿宋"/>
          <w:b w:val="0"/>
          <w:bCs/>
          <w:sz w:val="32"/>
          <w:szCs w:val="32"/>
          <w:highlight w:val="none"/>
          <w:lang w:val="zh-CN"/>
        </w:rPr>
      </w:pPr>
    </w:p>
    <w:p w14:paraId="115585B1">
      <w:pPr>
        <w:rPr>
          <w:rFonts w:hint="eastAsia" w:ascii="仿宋" w:hAnsi="仿宋" w:eastAsia="仿宋" w:cs="仿宋"/>
          <w:b w:val="0"/>
          <w:bCs/>
          <w:sz w:val="32"/>
          <w:szCs w:val="32"/>
          <w:highlight w:val="none"/>
          <w:lang w:val="zh-CN"/>
        </w:rPr>
      </w:pPr>
    </w:p>
    <w:p w14:paraId="0AFE6428">
      <w:pPr>
        <w:rPr>
          <w:rFonts w:hint="eastAsia" w:ascii="Times New Roman" w:hAnsi="Times New Roman" w:eastAsia="仿宋_GB2312" w:cs="仿宋"/>
          <w:b w:val="0"/>
          <w:bCs/>
          <w:sz w:val="24"/>
          <w:szCs w:val="24"/>
          <w:highlight w:val="none"/>
          <w:lang w:val="zh-CN"/>
        </w:rPr>
      </w:pPr>
      <w:bookmarkStart w:id="60" w:name="_Toc32462"/>
      <w:bookmarkStart w:id="61" w:name="_格式4：合同条款响应情况偏离表"/>
      <w:bookmarkStart w:id="62" w:name="_Toc25172"/>
      <w:r>
        <w:rPr>
          <w:rFonts w:hint="eastAsia" w:ascii="Times New Roman" w:hAnsi="Times New Roman" w:eastAsia="仿宋_GB2312" w:cs="仿宋"/>
          <w:b w:val="0"/>
          <w:bCs/>
          <w:sz w:val="24"/>
          <w:szCs w:val="24"/>
          <w:highlight w:val="none"/>
          <w:lang w:val="zh-CN"/>
        </w:rPr>
        <w:br w:type="page"/>
      </w:r>
    </w:p>
    <w:bookmarkEnd w:id="60"/>
    <w:bookmarkEnd w:id="61"/>
    <w:bookmarkEnd w:id="62"/>
    <w:p w14:paraId="46E732E2">
      <w:pPr>
        <w:pStyle w:val="4"/>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Times New Roman" w:hAnsi="Times New Roman" w:eastAsia="仿宋_GB2312" w:cs="仿宋"/>
          <w:b w:val="0"/>
          <w:bCs/>
          <w:sz w:val="24"/>
          <w:szCs w:val="24"/>
          <w:highlight w:val="none"/>
          <w:lang w:val="zh-CN"/>
        </w:rPr>
      </w:pPr>
      <w:bookmarkStart w:id="63" w:name="_Toc2151"/>
      <w:r>
        <w:rPr>
          <w:rFonts w:hint="eastAsia" w:ascii="Times New Roman" w:hAnsi="Times New Roman" w:eastAsia="仿宋_GB2312" w:cs="仿宋"/>
          <w:b w:val="0"/>
          <w:bCs/>
          <w:sz w:val="24"/>
          <w:szCs w:val="24"/>
          <w:highlight w:val="none"/>
          <w:lang w:val="zh-CN"/>
        </w:rPr>
        <w:t>格式4：</w:t>
      </w:r>
      <w:r>
        <w:rPr>
          <w:rFonts w:hint="eastAsia" w:ascii="Times New Roman" w:eastAsia="仿宋_GB2312" w:cs="仿宋"/>
          <w:b w:val="0"/>
          <w:bCs/>
          <w:sz w:val="24"/>
          <w:szCs w:val="24"/>
          <w:highlight w:val="none"/>
          <w:lang w:val="en-US" w:eastAsia="zh-CN"/>
        </w:rPr>
        <w:t>招标文件</w:t>
      </w:r>
      <w:r>
        <w:rPr>
          <w:rFonts w:hint="eastAsia" w:ascii="Times New Roman" w:hAnsi="Times New Roman" w:eastAsia="仿宋_GB2312" w:cs="仿宋"/>
          <w:b w:val="0"/>
          <w:bCs/>
          <w:sz w:val="24"/>
          <w:szCs w:val="24"/>
          <w:highlight w:val="none"/>
          <w:lang w:val="en-US" w:eastAsia="zh-CN"/>
        </w:rPr>
        <w:t>响应</w:t>
      </w:r>
      <w:r>
        <w:rPr>
          <w:rFonts w:hint="eastAsia" w:ascii="Times New Roman" w:hAnsi="Times New Roman" w:eastAsia="仿宋_GB2312" w:cs="仿宋"/>
          <w:b w:val="0"/>
          <w:bCs/>
          <w:sz w:val="24"/>
          <w:szCs w:val="24"/>
          <w:highlight w:val="none"/>
          <w:lang w:val="zh-CN"/>
        </w:rPr>
        <w:t>情况</w:t>
      </w:r>
      <w:r>
        <w:rPr>
          <w:rFonts w:hint="eastAsia" w:ascii="Times New Roman" w:hAnsi="Times New Roman" w:eastAsia="仿宋_GB2312" w:cs="仿宋"/>
          <w:b w:val="0"/>
          <w:bCs/>
          <w:sz w:val="24"/>
          <w:szCs w:val="24"/>
          <w:highlight w:val="none"/>
          <w:lang w:val="en-US" w:eastAsia="zh-CN"/>
        </w:rPr>
        <w:t>偏离表</w:t>
      </w:r>
      <w:bookmarkEnd w:id="63"/>
    </w:p>
    <w:p w14:paraId="6F60D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招标文件</w:t>
      </w:r>
      <w:r>
        <w:rPr>
          <w:rFonts w:hint="eastAsia" w:ascii="方正小标宋简体" w:hAnsi="方正小标宋简体" w:eastAsia="方正小标宋简体" w:cs="方正小标宋简体"/>
          <w:b w:val="0"/>
          <w:bCs/>
          <w:sz w:val="44"/>
          <w:szCs w:val="44"/>
          <w:lang w:val="zh-CN"/>
        </w:rPr>
        <w:t>响应情况</w:t>
      </w:r>
      <w:r>
        <w:rPr>
          <w:rFonts w:hint="eastAsia" w:ascii="方正小标宋简体" w:hAnsi="方正小标宋简体" w:eastAsia="方正小标宋简体" w:cs="方正小标宋简体"/>
          <w:b w:val="0"/>
          <w:bCs/>
          <w:sz w:val="44"/>
          <w:szCs w:val="44"/>
          <w:lang w:val="en-US" w:eastAsia="zh-CN"/>
        </w:rPr>
        <w:t>偏离表</w:t>
      </w:r>
    </w:p>
    <w:p w14:paraId="1DE46F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投标人：                                    招标编号：</w:t>
      </w:r>
    </w:p>
    <w:p w14:paraId="37B056CB">
      <w:pPr>
        <w:rPr>
          <w:rFonts w:hint="eastAsia"/>
          <w:lang w:val="zh-CN"/>
        </w:rPr>
      </w:pPr>
    </w:p>
    <w:tbl>
      <w:tblPr>
        <w:tblStyle w:val="15"/>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4BB6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691DDC9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sz w:val="21"/>
                <w:szCs w:val="21"/>
              </w:rPr>
              <w:t>序号</w:t>
            </w:r>
          </w:p>
        </w:tc>
        <w:tc>
          <w:tcPr>
            <w:tcW w:w="2395" w:type="dxa"/>
            <w:tcBorders>
              <w:tl2br w:val="nil"/>
              <w:tr2bl w:val="nil"/>
            </w:tcBorders>
            <w:vAlign w:val="center"/>
          </w:tcPr>
          <w:p w14:paraId="736830DF">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内容</w:t>
            </w:r>
          </w:p>
        </w:tc>
        <w:tc>
          <w:tcPr>
            <w:tcW w:w="1440" w:type="dxa"/>
            <w:tcBorders>
              <w:tl2br w:val="nil"/>
              <w:tr2bl w:val="nil"/>
            </w:tcBorders>
            <w:vAlign w:val="center"/>
          </w:tcPr>
          <w:p w14:paraId="5EF1A110">
            <w:pPr>
              <w:keepNext w:val="0"/>
              <w:keepLines w:val="0"/>
              <w:widowControl/>
              <w:suppressLineNumbers w:val="0"/>
              <w:jc w:val="center"/>
              <w:textAlignment w:val="center"/>
              <w:rPr>
                <w:rFonts w:hint="eastAsia" w:ascii="Times New Roman" w:hAnsi="Times New Roman" w:eastAsia="宋体" w:cstheme="minorEastAsia"/>
                <w:b w:val="0"/>
                <w:bCs/>
                <w:i w:val="0"/>
                <w:iCs w:val="0"/>
                <w:color w:val="000000"/>
                <w:kern w:val="0"/>
                <w:sz w:val="21"/>
                <w:szCs w:val="21"/>
                <w:u w:val="none"/>
                <w:lang w:val="en-US" w:eastAsia="zh-CN" w:bidi="ar"/>
              </w:rPr>
            </w:pPr>
            <w:r>
              <w:rPr>
                <w:rFonts w:hint="eastAsia" w:ascii="Times New Roman" w:hAnsi="Times New Roman" w:eastAsia="宋体" w:cstheme="minorEastAsia"/>
                <w:b w:val="0"/>
                <w:bCs/>
                <w:i w:val="0"/>
                <w:iCs w:val="0"/>
                <w:color w:val="000000"/>
                <w:kern w:val="0"/>
                <w:sz w:val="21"/>
                <w:szCs w:val="21"/>
                <w:u w:val="none"/>
                <w:lang w:val="en-US" w:eastAsia="zh-CN" w:bidi="ar"/>
              </w:rPr>
              <w:t>偏离性质</w:t>
            </w:r>
          </w:p>
          <w:p w14:paraId="76EBE0B2">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14:paraId="5C15F0E6">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偏离情况说明</w:t>
            </w:r>
          </w:p>
        </w:tc>
        <w:tc>
          <w:tcPr>
            <w:tcW w:w="1490" w:type="dxa"/>
            <w:tcBorders>
              <w:tl2br w:val="nil"/>
              <w:tr2bl w:val="nil"/>
            </w:tcBorders>
            <w:vAlign w:val="center"/>
          </w:tcPr>
          <w:p w14:paraId="2E737006">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14:paraId="07E64E1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sz w:val="21"/>
                <w:szCs w:val="21"/>
              </w:rPr>
              <w:t>备注</w:t>
            </w:r>
          </w:p>
        </w:tc>
      </w:tr>
      <w:tr w14:paraId="62BFD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134A766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1</w:t>
            </w:r>
          </w:p>
        </w:tc>
        <w:tc>
          <w:tcPr>
            <w:tcW w:w="2395" w:type="dxa"/>
            <w:tcBorders>
              <w:tl2br w:val="nil"/>
              <w:tr2bl w:val="nil"/>
            </w:tcBorders>
            <w:vAlign w:val="center"/>
          </w:tcPr>
          <w:p w14:paraId="4D468C1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5182E11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24D69CE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2D624CF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00ECCB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46E64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104519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2</w:t>
            </w:r>
          </w:p>
        </w:tc>
        <w:tc>
          <w:tcPr>
            <w:tcW w:w="2395" w:type="dxa"/>
            <w:tcBorders>
              <w:tl2br w:val="nil"/>
              <w:tr2bl w:val="nil"/>
            </w:tcBorders>
            <w:vAlign w:val="center"/>
          </w:tcPr>
          <w:p w14:paraId="49FDD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0FBF61C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186342B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4F18D37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5601554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2FC6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688E5C9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3</w:t>
            </w:r>
          </w:p>
        </w:tc>
        <w:tc>
          <w:tcPr>
            <w:tcW w:w="2395" w:type="dxa"/>
            <w:tcBorders>
              <w:tl2br w:val="nil"/>
              <w:tr2bl w:val="nil"/>
            </w:tcBorders>
            <w:vAlign w:val="center"/>
          </w:tcPr>
          <w:p w14:paraId="3573D18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4C476AE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07240A3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3B1BAD9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36246E6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5F612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3810F0B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r>
              <w:rPr>
                <w:rFonts w:hint="eastAsia" w:ascii="Times New Roman" w:hAnsi="Times New Roman" w:eastAsia="宋体" w:cs="仿宋"/>
                <w:bCs/>
                <w:sz w:val="21"/>
                <w:szCs w:val="21"/>
                <w:highlight w:val="none"/>
              </w:rPr>
              <w:t>4</w:t>
            </w:r>
          </w:p>
        </w:tc>
        <w:tc>
          <w:tcPr>
            <w:tcW w:w="2395" w:type="dxa"/>
            <w:tcBorders>
              <w:tl2br w:val="nil"/>
              <w:tr2bl w:val="nil"/>
            </w:tcBorders>
            <w:vAlign w:val="center"/>
          </w:tcPr>
          <w:p w14:paraId="074BAE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36BC5D4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352ECA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5D89FFC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4D814E9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E334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332FC0D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p w14:paraId="07F735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5</w:t>
            </w:r>
          </w:p>
        </w:tc>
        <w:tc>
          <w:tcPr>
            <w:tcW w:w="2395" w:type="dxa"/>
            <w:tcBorders>
              <w:tl2br w:val="nil"/>
              <w:tr2bl w:val="nil"/>
            </w:tcBorders>
            <w:vAlign w:val="center"/>
          </w:tcPr>
          <w:p w14:paraId="14F859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1E8A13E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29C6700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00FCA6F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1274381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DB2C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4E725E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6</w:t>
            </w:r>
          </w:p>
        </w:tc>
        <w:tc>
          <w:tcPr>
            <w:tcW w:w="2395" w:type="dxa"/>
            <w:tcBorders>
              <w:tl2br w:val="nil"/>
              <w:tr2bl w:val="nil"/>
            </w:tcBorders>
            <w:vAlign w:val="center"/>
          </w:tcPr>
          <w:p w14:paraId="3D4E87F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40" w:type="dxa"/>
            <w:tcBorders>
              <w:tl2br w:val="nil"/>
              <w:tr2bl w:val="nil"/>
            </w:tcBorders>
            <w:vAlign w:val="center"/>
          </w:tcPr>
          <w:p w14:paraId="36888DD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1794255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16D498E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2B4C39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r w14:paraId="6FC1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51805BB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7</w:t>
            </w:r>
          </w:p>
        </w:tc>
        <w:tc>
          <w:tcPr>
            <w:tcW w:w="2395" w:type="dxa"/>
            <w:tcBorders>
              <w:tl2br w:val="nil"/>
              <w:tr2bl w:val="nil"/>
            </w:tcBorders>
            <w:vAlign w:val="center"/>
          </w:tcPr>
          <w:p w14:paraId="42895E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40" w:type="dxa"/>
            <w:tcBorders>
              <w:tl2br w:val="nil"/>
              <w:tr2bl w:val="nil"/>
            </w:tcBorders>
            <w:vAlign w:val="center"/>
          </w:tcPr>
          <w:p w14:paraId="67B7FBA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2CB0BFB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623A5C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575A15A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r w14:paraId="145BA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311B16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p w14:paraId="424673E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2395" w:type="dxa"/>
            <w:tcBorders>
              <w:tl2br w:val="nil"/>
              <w:tr2bl w:val="nil"/>
            </w:tcBorders>
            <w:vAlign w:val="center"/>
          </w:tcPr>
          <w:p w14:paraId="4221115B">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z w:val="21"/>
                <w:szCs w:val="21"/>
                <w:highlight w:val="yellow"/>
                <w:lang w:val="en-US" w:eastAsia="zh-CN"/>
              </w:rPr>
            </w:pPr>
            <w:r>
              <w:rPr>
                <w:rFonts w:hint="eastAsia" w:ascii="Times New Roman" w:hAnsi="Times New Roman" w:eastAsia="宋体" w:cs="仿宋"/>
                <w:bCs/>
                <w:sz w:val="21"/>
                <w:szCs w:val="21"/>
                <w:highlight w:val="none"/>
                <w:lang w:val="en-US" w:eastAsia="zh-CN"/>
              </w:rPr>
              <w:t>.......</w:t>
            </w:r>
          </w:p>
        </w:tc>
        <w:tc>
          <w:tcPr>
            <w:tcW w:w="1440" w:type="dxa"/>
            <w:tcBorders>
              <w:tl2br w:val="nil"/>
              <w:tr2bl w:val="nil"/>
            </w:tcBorders>
            <w:vAlign w:val="center"/>
          </w:tcPr>
          <w:p w14:paraId="113F5F4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537BFD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107ED2C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19A061D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bl>
    <w:p w14:paraId="1A7F627F">
      <w:pPr>
        <w:keepNext w:val="0"/>
        <w:keepLines w:val="0"/>
        <w:pageBreakBefore w:val="0"/>
        <w:widowControl/>
        <w:kinsoku/>
        <w:wordWrap/>
        <w:overflowPunct/>
        <w:topLinePunct w:val="0"/>
        <w:autoSpaceDE/>
        <w:autoSpaceDN/>
        <w:bidi w:val="0"/>
        <w:adjustRightInd/>
        <w:snapToGrid/>
        <w:spacing w:line="240" w:lineRule="exact"/>
        <w:ind w:firstLine="422" w:firstLineChars="200"/>
        <w:textAlignment w:val="auto"/>
        <w:rPr>
          <w:rFonts w:hint="eastAsia" w:ascii="Times New Roman" w:hAnsi="Times New Roman" w:eastAsia="仿宋_GB2312" w:cs="仿宋"/>
          <w:b/>
          <w:bCs/>
          <w:sz w:val="21"/>
          <w:szCs w:val="21"/>
        </w:rPr>
      </w:pPr>
      <w:r>
        <w:rPr>
          <w:rFonts w:hint="eastAsia" w:ascii="Times New Roman" w:hAnsi="Times New Roman" w:eastAsia="仿宋_GB2312" w:cs="仿宋"/>
          <w:b/>
          <w:bCs/>
          <w:sz w:val="21"/>
          <w:szCs w:val="21"/>
        </w:rPr>
        <w:t>说明：</w:t>
      </w:r>
    </w:p>
    <w:p w14:paraId="3D38847D">
      <w:pPr>
        <w:keepNext w:val="0"/>
        <w:keepLines w:val="0"/>
        <w:pageBreakBefore w:val="0"/>
        <w:widowControl/>
        <w:numPr>
          <w:ilvl w:val="0"/>
          <w:numId w:val="14"/>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sz w:val="21"/>
          <w:szCs w:val="21"/>
          <w:lang w:val="en-US" w:eastAsia="zh-CN"/>
        </w:rPr>
      </w:pPr>
      <w:r>
        <w:rPr>
          <w:rFonts w:hint="eastAsia" w:ascii="Times New Roman" w:hAnsi="Times New Roman" w:eastAsia="仿宋_GB2312" w:cs="仿宋"/>
          <w:b w:val="0"/>
          <w:bCs w:val="0"/>
          <w:kern w:val="0"/>
          <w:sz w:val="21"/>
          <w:szCs w:val="21"/>
          <w:lang w:val="en-US" w:eastAsia="zh-CN"/>
        </w:rPr>
        <w:t>偏离性质以招标人列示招标文件为基准，作出对招标人有利修改的为正偏离，反之为负偏离。</w:t>
      </w:r>
    </w:p>
    <w:p w14:paraId="1397C5A5">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kern w:val="2"/>
          <w:sz w:val="21"/>
          <w:szCs w:val="21"/>
        </w:rPr>
      </w:pPr>
      <w:r>
        <w:rPr>
          <w:rFonts w:hint="eastAsia" w:ascii="Times New Roman" w:hAnsi="Times New Roman" w:eastAsia="仿宋_GB2312" w:cs="仿宋"/>
          <w:b w:val="0"/>
          <w:bCs w:val="0"/>
          <w:sz w:val="21"/>
          <w:szCs w:val="21"/>
        </w:rPr>
        <w:t>投标人应准确完整阅读</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文件并就</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文件内合同条款与投标人实际提供服务产生的偏离情况进行完整、准确说明</w:t>
      </w:r>
      <w:r>
        <w:rPr>
          <w:rFonts w:hint="eastAsia" w:ascii="Times New Roman" w:hAnsi="Times New Roman" w:eastAsia="仿宋_GB2312" w:cs="仿宋"/>
          <w:b w:val="0"/>
          <w:bCs w:val="0"/>
          <w:sz w:val="21"/>
          <w:szCs w:val="21"/>
          <w:lang w:eastAsia="zh-CN"/>
        </w:rPr>
        <w:t>，</w:t>
      </w:r>
      <w:r>
        <w:rPr>
          <w:rFonts w:hint="eastAsia" w:ascii="Times New Roman" w:hAnsi="Times New Roman" w:eastAsia="仿宋_GB2312" w:cs="仿宋"/>
          <w:b w:val="0"/>
          <w:bCs w:val="0"/>
          <w:sz w:val="21"/>
          <w:szCs w:val="21"/>
          <w:lang w:val="en-US" w:eastAsia="zh-CN"/>
        </w:rPr>
        <w:t>投标人未予列示的，默认为无偏离承诺</w:t>
      </w:r>
      <w:r>
        <w:rPr>
          <w:rFonts w:hint="eastAsia" w:ascii="Times New Roman" w:hAnsi="Times New Roman" w:eastAsia="仿宋_GB2312" w:cs="仿宋"/>
          <w:b w:val="0"/>
          <w:bCs w:val="0"/>
          <w:sz w:val="21"/>
          <w:szCs w:val="21"/>
        </w:rPr>
        <w:t>。投标人未在本表中示明，但在服务方案中存在偏离的情况，</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人有权判定为废标。</w:t>
      </w:r>
    </w:p>
    <w:p w14:paraId="2402FAF2">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6D3E3E56">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68CF1F4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lang w:eastAsia="zh-CN"/>
        </w:rPr>
        <w:t>投标人</w:t>
      </w:r>
      <w:r>
        <w:rPr>
          <w:rFonts w:hint="eastAsia" w:ascii="仿宋_GB2312" w:hAnsi="仿宋_GB2312" w:eastAsia="仿宋_GB2312" w:cs="仿宋_GB2312"/>
          <w:b w:val="0"/>
          <w:bCs/>
          <w:kern w:val="0"/>
          <w:sz w:val="24"/>
          <w:szCs w:val="24"/>
        </w:rPr>
        <w:t>名称（公章）：</w:t>
      </w:r>
    </w:p>
    <w:p w14:paraId="2493A97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法定代表人（法定授权代表人）签名：</w:t>
      </w:r>
    </w:p>
    <w:p w14:paraId="04E68D98">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sz w:val="24"/>
          <w:szCs w:val="24"/>
          <w:highlight w:val="none"/>
        </w:rPr>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r>
        <w:rPr>
          <w:rFonts w:hint="eastAsia" w:ascii="仿宋_GB2312" w:hAnsi="仿宋_GB2312" w:eastAsia="仿宋_GB2312" w:cs="仿宋_GB2312"/>
          <w:b w:val="0"/>
          <w:bCs/>
          <w:kern w:val="0"/>
          <w:sz w:val="24"/>
          <w:szCs w:val="24"/>
        </w:rPr>
        <w:t>日期：</w:t>
      </w:r>
      <w:r>
        <w:rPr>
          <w:rFonts w:hint="eastAsia" w:ascii="仿宋" w:hAnsi="仿宋" w:eastAsia="仿宋" w:cs="仿宋"/>
          <w:bCs/>
          <w:kern w:val="0"/>
          <w:sz w:val="24"/>
          <w:szCs w:val="24"/>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4" w:name="_Toc27438"/>
      <w:r>
        <w:rPr>
          <w:rFonts w:hint="eastAsia" w:ascii="仿宋_GB2312" w:hAnsi="仿宋_GB2312" w:eastAsia="仿宋_GB2312" w:cs="仿宋_GB2312"/>
          <w:b w:val="0"/>
          <w:bCs/>
          <w:sz w:val="24"/>
          <w:szCs w:val="24"/>
          <w:highlight w:val="none"/>
          <w:lang w:val="zh-CN"/>
        </w:rPr>
        <w:t>格式</w:t>
      </w:r>
      <w:r>
        <w:rPr>
          <w:rFonts w:hint="eastAsia" w:ascii="仿宋_GB2312" w:hAnsi="仿宋_GB2312" w:eastAsia="仿宋_GB2312" w:cs="仿宋_GB2312"/>
          <w:b w:val="0"/>
          <w:bCs/>
          <w:sz w:val="24"/>
          <w:szCs w:val="24"/>
          <w:highlight w:val="none"/>
          <w:lang w:val="en-US" w:eastAsia="zh-CN"/>
        </w:rPr>
        <w:t>5</w:t>
      </w:r>
      <w:r>
        <w:rPr>
          <w:rFonts w:hint="eastAsia" w:ascii="仿宋_GB2312" w:hAnsi="仿宋_GB2312" w:eastAsia="仿宋_GB2312" w:cs="仿宋_GB2312"/>
          <w:b w:val="0"/>
          <w:bCs/>
          <w:sz w:val="24"/>
          <w:szCs w:val="24"/>
          <w:highlight w:val="none"/>
          <w:lang w:val="zh-CN"/>
        </w:rPr>
        <w:t>：</w:t>
      </w:r>
      <w:r>
        <w:rPr>
          <w:rFonts w:hint="eastAsia" w:ascii="仿宋_GB2312" w:hAnsi="仿宋_GB2312" w:eastAsia="仿宋_GB2312" w:cs="仿宋_GB2312"/>
          <w:b w:val="0"/>
          <w:bCs/>
          <w:sz w:val="24"/>
          <w:szCs w:val="24"/>
          <w:highlight w:val="none"/>
          <w:lang w:val="en-US" w:eastAsia="zh-CN"/>
        </w:rPr>
        <w:t>廉洁</w:t>
      </w:r>
      <w:r>
        <w:rPr>
          <w:rFonts w:hint="eastAsia" w:ascii="仿宋_GB2312" w:hAnsi="仿宋_GB2312" w:eastAsia="仿宋_GB2312" w:cs="仿宋_GB2312"/>
          <w:b w:val="0"/>
          <w:bCs/>
          <w:sz w:val="24"/>
          <w:szCs w:val="24"/>
          <w:highlight w:val="none"/>
          <w:lang w:val="zh-CN"/>
        </w:rPr>
        <w:t>承诺函</w:t>
      </w:r>
      <w:bookmarkEnd w:id="59"/>
      <w:bookmarkEnd w:id="64"/>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7DF18C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40"/>
          <w:szCs w:val="40"/>
          <w:highlight w:val="none"/>
        </w:rPr>
      </w:pP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我司有意参与贵司【</w:t>
      </w:r>
      <w:r>
        <w:rPr>
          <w:rFonts w:hint="eastAsia" w:ascii="Times New Roman" w:hAnsi="Times New Roman" w:eastAsia="仿宋_GB2312" w:cs="仿宋_GB2312"/>
          <w:b w:val="0"/>
          <w:bCs/>
          <w:sz w:val="24"/>
          <w:szCs w:val="24"/>
          <w:highlight w:val="none"/>
          <w:u w:val="single"/>
          <w:lang w:val="en-US" w:eastAsia="zh-CN"/>
        </w:rPr>
        <w:t>2025年度</w:t>
      </w:r>
      <w:r>
        <w:rPr>
          <w:rFonts w:hint="eastAsia" w:ascii="Times New Roman" w:hAnsi="Times New Roman" w:eastAsia="仿宋_GB2312" w:cs="仿宋_GB2312"/>
          <w:b w:val="0"/>
          <w:bCs/>
          <w:sz w:val="24"/>
          <w:szCs w:val="24"/>
          <w:highlight w:val="none"/>
          <w:u w:val="single"/>
          <w:lang w:eastAsia="zh-CN"/>
        </w:rPr>
        <w:t>员工健康体检</w:t>
      </w:r>
      <w:r>
        <w:rPr>
          <w:rFonts w:hint="eastAsia" w:ascii="Times New Roman" w:hAnsi="Times New Roman" w:eastAsia="仿宋_GB2312" w:cs="仿宋_GB2312"/>
          <w:b w:val="0"/>
          <w:bCs/>
          <w:sz w:val="24"/>
          <w:szCs w:val="24"/>
          <w:highlight w:val="none"/>
          <w:u w:val="single"/>
          <w:lang w:val="en-US" w:eastAsia="zh-CN"/>
        </w:rPr>
        <w:t>项目</w:t>
      </w:r>
      <w:r>
        <w:rPr>
          <w:rFonts w:hint="eastAsia" w:ascii="Times New Roman" w:hAnsi="Times New Roman" w:eastAsia="仿宋_GB2312" w:cs="仿宋_GB2312"/>
          <w:b w:val="0"/>
          <w:bCs/>
          <w:sz w:val="24"/>
          <w:szCs w:val="24"/>
          <w:highlight w:val="none"/>
        </w:rPr>
        <w:t>】</w:t>
      </w:r>
      <w:r>
        <w:rPr>
          <w:rFonts w:hint="eastAsia" w:ascii="Times New Roman" w:hAnsi="Times New Roman" w:eastAsia="仿宋_GB2312" w:cs="仿宋_GB2312"/>
          <w:b w:val="0"/>
          <w:bCs/>
          <w:sz w:val="24"/>
          <w:szCs w:val="24"/>
          <w:highlight w:val="none"/>
          <w:lang w:eastAsia="zh-CN"/>
        </w:rPr>
        <w:t>（项目编号</w:t>
      </w:r>
      <w:r>
        <w:rPr>
          <w:rFonts w:hint="eastAsia" w:ascii="Times New Roman" w:hAnsi="Times New Roman" w:eastAsia="仿宋_GB2312" w:cs="仿宋_GB2312"/>
          <w:b w:val="0"/>
          <w:bCs/>
          <w:sz w:val="24"/>
          <w:szCs w:val="24"/>
          <w:highlight w:val="none"/>
          <w:lang w:val="en-US" w:eastAsia="zh-CN"/>
        </w:rPr>
        <w:t>PLHR-ZB-FW-202506</w:t>
      </w:r>
      <w:r>
        <w:rPr>
          <w:rFonts w:hint="eastAsia" w:ascii="Times New Roman" w:hAnsi="Times New Roman"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投标</w:t>
      </w:r>
      <w:r>
        <w:rPr>
          <w:rFonts w:hint="eastAsia" w:ascii="仿宋_GB2312" w:hAnsi="仿宋_GB2312" w:eastAsia="仿宋_GB2312" w:cs="仿宋_GB2312"/>
          <w:b w:val="0"/>
          <w:bCs/>
          <w:kern w:val="0"/>
          <w:sz w:val="24"/>
          <w:szCs w:val="24"/>
          <w:highlight w:val="none"/>
          <w:lang w:eastAsia="zh-CN"/>
        </w:rPr>
        <w:t>人</w:t>
      </w:r>
      <w:r>
        <w:rPr>
          <w:rFonts w:hint="eastAsia" w:ascii="仿宋_GB2312" w:hAnsi="仿宋_GB2312" w:eastAsia="仿宋_GB2312" w:cs="仿宋_GB2312"/>
          <w:b w:val="0"/>
          <w:bCs/>
          <w:kern w:val="0"/>
          <w:sz w:val="24"/>
          <w:szCs w:val="24"/>
          <w:highlight w:val="none"/>
        </w:rPr>
        <w:t>（公章）：</w:t>
      </w:r>
    </w:p>
    <w:p w14:paraId="3AE328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日期：</w:t>
      </w:r>
    </w:p>
    <w:p w14:paraId="0B3FBFF7">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p w14:paraId="6CA4F074">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p w14:paraId="12CF43C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sz w:val="24"/>
          <w:szCs w:val="24"/>
          <w:highlight w:val="none"/>
          <w:lang w:val="zh-CN"/>
        </w:rPr>
      </w:pPr>
      <w:bookmarkStart w:id="65" w:name="_Toc12501"/>
      <w:r>
        <w:rPr>
          <w:rFonts w:hint="eastAsia" w:ascii="仿宋_GB2312" w:hAnsi="仿宋_GB2312" w:eastAsia="仿宋_GB2312" w:cs="仿宋_GB2312"/>
          <w:b w:val="0"/>
          <w:bCs/>
          <w:sz w:val="24"/>
          <w:szCs w:val="24"/>
          <w:highlight w:val="none"/>
          <w:lang w:val="zh-CN"/>
        </w:rPr>
        <w:t>格式</w:t>
      </w:r>
      <w:r>
        <w:rPr>
          <w:rFonts w:hint="eastAsia" w:ascii="仿宋_GB2312" w:hAnsi="仿宋_GB2312" w:eastAsia="仿宋_GB2312" w:cs="仿宋_GB2312"/>
          <w:b w:val="0"/>
          <w:bCs/>
          <w:sz w:val="24"/>
          <w:szCs w:val="24"/>
          <w:highlight w:val="none"/>
          <w:lang w:val="en-US" w:eastAsia="zh-CN"/>
        </w:rPr>
        <w:t>6</w:t>
      </w:r>
      <w:r>
        <w:rPr>
          <w:rFonts w:hint="eastAsia" w:ascii="仿宋_GB2312" w:hAnsi="仿宋_GB2312" w:eastAsia="仿宋_GB2312" w:cs="仿宋_GB2312"/>
          <w:b w:val="0"/>
          <w:bCs/>
          <w:sz w:val="24"/>
          <w:szCs w:val="24"/>
          <w:highlight w:val="none"/>
          <w:lang w:val="zh-CN"/>
        </w:rPr>
        <w:t>：</w:t>
      </w:r>
      <w:r>
        <w:rPr>
          <w:rFonts w:hint="eastAsia" w:ascii="仿宋_GB2312" w:hAnsi="仿宋_GB2312" w:eastAsia="仿宋_GB2312" w:cs="仿宋_GB2312"/>
          <w:b w:val="0"/>
          <w:bCs/>
          <w:sz w:val="24"/>
          <w:szCs w:val="24"/>
          <w:highlight w:val="none"/>
          <w:lang w:val="en-US" w:eastAsia="zh-CN"/>
        </w:rPr>
        <w:t>服务保价</w:t>
      </w:r>
      <w:r>
        <w:rPr>
          <w:rFonts w:hint="eastAsia" w:ascii="仿宋_GB2312" w:hAnsi="仿宋_GB2312" w:eastAsia="仿宋_GB2312" w:cs="仿宋_GB2312"/>
          <w:b w:val="0"/>
          <w:bCs/>
          <w:sz w:val="24"/>
          <w:szCs w:val="24"/>
          <w:highlight w:val="none"/>
          <w:lang w:val="zh-CN"/>
        </w:rPr>
        <w:t>承诺函</w:t>
      </w:r>
      <w:bookmarkEnd w:id="65"/>
    </w:p>
    <w:p w14:paraId="1F3FB000">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5F2CAB4">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服务保价承诺函</w:t>
      </w:r>
    </w:p>
    <w:p w14:paraId="270DD9CC">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25B0AFF">
      <w:pPr>
        <w:keepNext w:val="0"/>
        <w:keepLines w:val="0"/>
        <w:pageBreakBefore w:val="0"/>
        <w:widowControl w:val="0"/>
        <w:kinsoku/>
        <w:overflowPunct/>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致：深圳市鹏劳人力资源管理有限公司</w:t>
      </w:r>
    </w:p>
    <w:p w14:paraId="72184E2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我院参与贵司2025年度员工健康体检项目投标，如我院中标本项目，我院就本项</w:t>
      </w:r>
      <w:r>
        <w:rPr>
          <w:rFonts w:hint="eastAsia" w:ascii="仿宋_GB2312" w:hAnsi="仿宋_GB2312" w:eastAsia="仿宋_GB2312" w:cs="仿宋_GB2312"/>
          <w:sz w:val="32"/>
          <w:szCs w:val="32"/>
          <w:lang w:val="en-US" w:eastAsia="zh-CN"/>
        </w:rPr>
        <w:t>目员工自费加检非医保项目价格作出承诺，如获选中标，在实际履约过程中违反承诺的，视同违约并承担不利后果，具体承诺内容如下：</w:t>
      </w:r>
    </w:p>
    <w:p w14:paraId="6955A1C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我院承诺本项目所有员工自费加检非医保项目价格折扣基础均按我院对外统一门市价</w:t>
      </w:r>
      <w:r>
        <w:rPr>
          <w:rFonts w:hint="default" w:ascii="仿宋_GB2312" w:hAnsi="仿宋_GB2312" w:eastAsia="仿宋_GB2312" w:cs="仿宋_GB2312"/>
          <w:sz w:val="32"/>
          <w:szCs w:val="32"/>
          <w:lang w:eastAsia="zh-CN"/>
        </w:rPr>
        <w:t>执行</w:t>
      </w:r>
      <w:r>
        <w:rPr>
          <w:rFonts w:hint="eastAsia" w:ascii="仿宋_GB2312" w:hAnsi="仿宋_GB2312" w:eastAsia="仿宋_GB2312" w:cs="仿宋_GB2312"/>
          <w:sz w:val="32"/>
          <w:szCs w:val="32"/>
          <w:lang w:val="en-US" w:eastAsia="zh-CN"/>
        </w:rPr>
        <w:t>，无虚增价格的情况，我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接受招标人在</w:t>
      </w:r>
      <w:r>
        <w:rPr>
          <w:rFonts w:hint="default" w:ascii="仿宋_GB2312" w:hAnsi="仿宋_GB2312" w:eastAsia="仿宋_GB2312" w:cs="仿宋_GB2312"/>
          <w:sz w:val="32"/>
          <w:szCs w:val="32"/>
          <w:lang w:eastAsia="zh-CN"/>
        </w:rPr>
        <w:t>采购全阶段</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rPr>
        <w:t>承诺有效性</w:t>
      </w:r>
      <w:r>
        <w:rPr>
          <w:rFonts w:hint="eastAsia" w:ascii="仿宋_GB2312" w:hAnsi="仿宋_GB2312" w:eastAsia="仿宋_GB2312" w:cs="仿宋_GB2312"/>
          <w:sz w:val="32"/>
          <w:szCs w:val="32"/>
          <w:lang w:val="en-US" w:eastAsia="zh-CN"/>
        </w:rPr>
        <w:t>实施复核，如复核不符合招标文件要求的，我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自动放弃成交。</w:t>
      </w:r>
    </w:p>
    <w:p w14:paraId="6E40DBC6">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C4E5EA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4348E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9CA7EC2">
      <w:pPr>
        <w:keepNext w:val="0"/>
        <w:keepLines w:val="0"/>
        <w:pageBreakBefore w:val="0"/>
        <w:widowControl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14:paraId="24EE30E1">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投标人名称（公章）：</w:t>
      </w:r>
    </w:p>
    <w:p w14:paraId="58AFCB49">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法定代表人（法定授权代表人）签名：</w:t>
      </w:r>
    </w:p>
    <w:p w14:paraId="0F3E7122">
      <w:pPr>
        <w:keepNext w:val="0"/>
        <w:keepLines w:val="0"/>
        <w:pageBreakBefore w:val="0"/>
        <w:widowControl w:val="0"/>
        <w:kinsoku/>
        <w:overflowPunct/>
        <w:autoSpaceDE/>
        <w:autoSpaceDN/>
        <w:bidi w:val="0"/>
        <w:adjustRightInd/>
        <w:snapToGrid/>
        <w:spacing w:line="560" w:lineRule="exact"/>
        <w:ind w:firstLine="422"/>
        <w:jc w:val="left"/>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40E8">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F1D197">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F1D197">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1"/>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202506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6FA2">
    <w:pPr>
      <w:pStyle w:val="11"/>
      <w:tabs>
        <w:tab w:val="left" w:pos="323"/>
      </w:tabs>
      <w:jc w:val="right"/>
      <w:rPr>
        <w:rFonts w:hint="eastAsia"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1"/>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30FE"/>
    <w:multiLevelType w:val="singleLevel"/>
    <w:tmpl w:val="846130FE"/>
    <w:lvl w:ilvl="0" w:tentative="0">
      <w:start w:val="1"/>
      <w:numFmt w:val="decimal"/>
      <w:suff w:val="nothing"/>
      <w:lvlText w:val="%1."/>
      <w:lvlJc w:val="left"/>
      <w:pPr>
        <w:ind w:left="425" w:hanging="425"/>
      </w:pPr>
      <w:rPr>
        <w:rFonts w:hint="default"/>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2">
    <w:nsid w:val="8D08277C"/>
    <w:multiLevelType w:val="singleLevel"/>
    <w:tmpl w:val="8D08277C"/>
    <w:lvl w:ilvl="0" w:tentative="0">
      <w:start w:val="1"/>
      <w:numFmt w:val="decimal"/>
      <w:suff w:val="nothing"/>
      <w:lvlText w:val="（%1）"/>
      <w:lvlJc w:val="left"/>
      <w:pPr>
        <w:ind w:left="425" w:leftChars="0" w:hanging="425" w:firstLineChars="0"/>
      </w:pPr>
      <w:rPr>
        <w:rFonts w:hint="default"/>
        <w:sz w:val="32"/>
        <w:szCs w:val="32"/>
      </w:rPr>
    </w:lvl>
  </w:abstractNum>
  <w:abstractNum w:abstractNumId="3">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
    <w:nsid w:val="AF170863"/>
    <w:multiLevelType w:val="singleLevel"/>
    <w:tmpl w:val="AF170863"/>
    <w:lvl w:ilvl="0" w:tentative="0">
      <w:start w:val="1"/>
      <w:numFmt w:val="chineseCounting"/>
      <w:suff w:val="nothing"/>
      <w:lvlText w:val="%1、"/>
      <w:lvlJc w:val="left"/>
      <w:pPr>
        <w:ind w:left="0" w:firstLine="420"/>
      </w:pPr>
      <w:rPr>
        <w:rFonts w:hint="eastAsia" w:ascii="仿宋" w:hAnsi="仿宋" w:eastAsia="仿宋" w:cs="仿宋"/>
        <w:sz w:val="24"/>
        <w:szCs w:val="24"/>
      </w:rPr>
    </w:lvl>
  </w:abstractNum>
  <w:abstractNum w:abstractNumId="5">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6">
    <w:nsid w:val="CF2CB815"/>
    <w:multiLevelType w:val="singleLevel"/>
    <w:tmpl w:val="CF2CB815"/>
    <w:lvl w:ilvl="0" w:tentative="0">
      <w:start w:val="1"/>
      <w:numFmt w:val="decimal"/>
      <w:suff w:val="nothing"/>
      <w:lvlText w:val="%1."/>
      <w:lvlJc w:val="left"/>
    </w:lvl>
  </w:abstractNum>
  <w:abstractNum w:abstractNumId="7">
    <w:nsid w:val="DAA79E7F"/>
    <w:multiLevelType w:val="singleLevel"/>
    <w:tmpl w:val="DAA79E7F"/>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8">
    <w:nsid w:val="2178CB1F"/>
    <w:multiLevelType w:val="singleLevel"/>
    <w:tmpl w:val="2178CB1F"/>
    <w:lvl w:ilvl="0" w:tentative="0">
      <w:start w:val="1"/>
      <w:numFmt w:val="decimal"/>
      <w:suff w:val="nothing"/>
      <w:lvlText w:val="%1."/>
      <w:lvlJc w:val="left"/>
    </w:lvl>
  </w:abstractNum>
  <w:abstractNum w:abstractNumId="9">
    <w:nsid w:val="3F365E95"/>
    <w:multiLevelType w:val="singleLevel"/>
    <w:tmpl w:val="3F365E95"/>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1">
    <w:nsid w:val="66A5F703"/>
    <w:multiLevelType w:val="singleLevel"/>
    <w:tmpl w:val="66A5F703"/>
    <w:lvl w:ilvl="0" w:tentative="0">
      <w:start w:val="1"/>
      <w:numFmt w:val="chineseCounting"/>
      <w:suff w:val="nothing"/>
      <w:lvlText w:val="%1、"/>
      <w:lvlJc w:val="left"/>
      <w:rPr>
        <w:rFonts w:hint="eastAsia" w:ascii="黑体" w:hAnsi="黑体" w:eastAsia="黑体" w:cs="黑体"/>
        <w:sz w:val="32"/>
        <w:szCs w:val="32"/>
      </w:rPr>
    </w:lvl>
  </w:abstractNum>
  <w:abstractNum w:abstractNumId="12">
    <w:nsid w:val="6DC44AC2"/>
    <w:multiLevelType w:val="singleLevel"/>
    <w:tmpl w:val="6DC44AC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3">
    <w:nsid w:val="77EE52DE"/>
    <w:multiLevelType w:val="singleLevel"/>
    <w:tmpl w:val="77EE52DE"/>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num w:numId="1">
    <w:abstractNumId w:val="11"/>
  </w:num>
  <w:num w:numId="2">
    <w:abstractNumId w:val="5"/>
  </w:num>
  <w:num w:numId="3">
    <w:abstractNumId w:val="1"/>
  </w:num>
  <w:num w:numId="4">
    <w:abstractNumId w:val="10"/>
  </w:num>
  <w:num w:numId="5">
    <w:abstractNumId w:val="3"/>
  </w:num>
  <w:num w:numId="6">
    <w:abstractNumId w:val="9"/>
  </w:num>
  <w:num w:numId="7">
    <w:abstractNumId w:val="0"/>
  </w:num>
  <w:num w:numId="8">
    <w:abstractNumId w:val="6"/>
  </w:num>
  <w:num w:numId="9">
    <w:abstractNumId w:val="8"/>
  </w:num>
  <w:num w:numId="10">
    <w:abstractNumId w:val="13"/>
  </w:num>
  <w:num w:numId="11">
    <w:abstractNumId w:val="12"/>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13E6387"/>
    <w:rsid w:val="01BE2D3A"/>
    <w:rsid w:val="02796667"/>
    <w:rsid w:val="02796C38"/>
    <w:rsid w:val="043064BE"/>
    <w:rsid w:val="044F0706"/>
    <w:rsid w:val="05B42F17"/>
    <w:rsid w:val="062D1159"/>
    <w:rsid w:val="064E72CB"/>
    <w:rsid w:val="08743E10"/>
    <w:rsid w:val="0966500F"/>
    <w:rsid w:val="0A1D4DDB"/>
    <w:rsid w:val="0AA43652"/>
    <w:rsid w:val="0B071D3B"/>
    <w:rsid w:val="0B230CC9"/>
    <w:rsid w:val="0B2C3E39"/>
    <w:rsid w:val="0B574C3D"/>
    <w:rsid w:val="0BD87910"/>
    <w:rsid w:val="0BF56037"/>
    <w:rsid w:val="0C1817EE"/>
    <w:rsid w:val="0CD53EF2"/>
    <w:rsid w:val="0E33493E"/>
    <w:rsid w:val="0EA224A6"/>
    <w:rsid w:val="0EF46860"/>
    <w:rsid w:val="129B3361"/>
    <w:rsid w:val="14ED1B84"/>
    <w:rsid w:val="15004E24"/>
    <w:rsid w:val="168C6693"/>
    <w:rsid w:val="18695096"/>
    <w:rsid w:val="19FC062E"/>
    <w:rsid w:val="1BA35871"/>
    <w:rsid w:val="1F3A1D86"/>
    <w:rsid w:val="1F685A8C"/>
    <w:rsid w:val="1F8B28FD"/>
    <w:rsid w:val="21533FA5"/>
    <w:rsid w:val="216806DC"/>
    <w:rsid w:val="217369AA"/>
    <w:rsid w:val="2239141C"/>
    <w:rsid w:val="24E57241"/>
    <w:rsid w:val="25933990"/>
    <w:rsid w:val="26FB67A0"/>
    <w:rsid w:val="275A6547"/>
    <w:rsid w:val="27D1591C"/>
    <w:rsid w:val="28037CAD"/>
    <w:rsid w:val="296D37AE"/>
    <w:rsid w:val="2AC360BC"/>
    <w:rsid w:val="2AFB1659"/>
    <w:rsid w:val="2B4B1A6A"/>
    <w:rsid w:val="2C8C2CFD"/>
    <w:rsid w:val="2CBD7E51"/>
    <w:rsid w:val="2CEA52EC"/>
    <w:rsid w:val="2E294A91"/>
    <w:rsid w:val="331F4BF5"/>
    <w:rsid w:val="33BE59CB"/>
    <w:rsid w:val="33C55700"/>
    <w:rsid w:val="376D5FE8"/>
    <w:rsid w:val="3982033E"/>
    <w:rsid w:val="3A793D27"/>
    <w:rsid w:val="3ADA6F7F"/>
    <w:rsid w:val="3ADD2D66"/>
    <w:rsid w:val="3B2253B3"/>
    <w:rsid w:val="3B885799"/>
    <w:rsid w:val="3C2D1CCA"/>
    <w:rsid w:val="3E093008"/>
    <w:rsid w:val="3EAA6D4C"/>
    <w:rsid w:val="3F993ED1"/>
    <w:rsid w:val="41F4042C"/>
    <w:rsid w:val="4315253F"/>
    <w:rsid w:val="44F83D3F"/>
    <w:rsid w:val="45004A76"/>
    <w:rsid w:val="45BB0389"/>
    <w:rsid w:val="45C93A36"/>
    <w:rsid w:val="4A0C76A8"/>
    <w:rsid w:val="4CEC3B57"/>
    <w:rsid w:val="4D8B3615"/>
    <w:rsid w:val="549C36B3"/>
    <w:rsid w:val="54D5111E"/>
    <w:rsid w:val="559E7982"/>
    <w:rsid w:val="57E570B8"/>
    <w:rsid w:val="5852060C"/>
    <w:rsid w:val="58E66C0D"/>
    <w:rsid w:val="5C6869A5"/>
    <w:rsid w:val="5CF72754"/>
    <w:rsid w:val="5E1614EB"/>
    <w:rsid w:val="5E746CF5"/>
    <w:rsid w:val="5EB33D53"/>
    <w:rsid w:val="5FC84046"/>
    <w:rsid w:val="60B06CD0"/>
    <w:rsid w:val="61827A74"/>
    <w:rsid w:val="626F619A"/>
    <w:rsid w:val="63A212F2"/>
    <w:rsid w:val="64F007CB"/>
    <w:rsid w:val="651B2134"/>
    <w:rsid w:val="65F21201"/>
    <w:rsid w:val="662A1B70"/>
    <w:rsid w:val="672F4C7D"/>
    <w:rsid w:val="686B28E3"/>
    <w:rsid w:val="69804A02"/>
    <w:rsid w:val="6A146F17"/>
    <w:rsid w:val="6B543B20"/>
    <w:rsid w:val="6D07335C"/>
    <w:rsid w:val="6E5102B2"/>
    <w:rsid w:val="6FCB4BA5"/>
    <w:rsid w:val="70511590"/>
    <w:rsid w:val="70CE364A"/>
    <w:rsid w:val="72EE4600"/>
    <w:rsid w:val="74F03968"/>
    <w:rsid w:val="752F291E"/>
    <w:rsid w:val="76F03300"/>
    <w:rsid w:val="77281D83"/>
    <w:rsid w:val="7772105E"/>
    <w:rsid w:val="7C2707B8"/>
    <w:rsid w:val="7E1F3218"/>
    <w:rsid w:val="7E5C4446"/>
    <w:rsid w:val="7F1B7E56"/>
    <w:rsid w:val="7FBF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0">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6715</Words>
  <Characters>7156</Characters>
  <Lines>180</Lines>
  <Paragraphs>50</Paragraphs>
  <TotalTime>22</TotalTime>
  <ScaleCrop>false</ScaleCrop>
  <LinksUpToDate>false</LinksUpToDate>
  <CharactersWithSpaces>7257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运营部-xj</cp:lastModifiedBy>
  <cp:lastPrinted>2025-08-12T01:13:00Z</cp:lastPrinted>
  <dcterms:modified xsi:type="dcterms:W3CDTF">2025-08-13T02:37:08Z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03B494DA84C14FBA9D363D29B608FABC_13</vt:lpwstr>
  </property>
  <property fmtid="{D5CDD505-2E9C-101B-9397-08002B2CF9AE}" pid="4" name="KSOTemplateDocerSaveRecord">
    <vt:lpwstr>eyJoZGlkIjoiNDgxM2FhMDM0M2U5OGQ2ODA4NWZmYmM5MzU0ZjJmNjMiLCJ1c2VySWQiOiIyNDM2ODYzNCJ9</vt:lpwstr>
  </property>
</Properties>
</file>